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ascii="宋体" w:hAnsi="宋体" w:cs="宋体"/>
          <w:kern w:val="0"/>
          <w:sz w:val="36"/>
          <w:szCs w:val="36"/>
        </w:rPr>
      </w:pPr>
      <w:r>
        <w:rPr>
          <w:rFonts w:hint="eastAsia" w:ascii="宋体" w:hAnsi="宋体" w:cs="宋体"/>
          <w:b/>
          <w:kern w:val="0"/>
          <w:sz w:val="36"/>
          <w:szCs w:val="36"/>
          <w:shd w:val="clear" w:color="auto" w:fill="FFFFFF"/>
        </w:rPr>
        <w:t>江苏省南通中学附属实验学校高压网络值守及维护项目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（项目编号：NTTZFX2020051</w:t>
      </w:r>
      <w:r>
        <w:rPr>
          <w:rFonts w:hint="eastAsia" w:ascii="宋体" w:hAnsi="宋体" w:cs="宋体"/>
          <w:sz w:val="30"/>
          <w:szCs w:val="30"/>
          <w:lang w:val="en-US" w:eastAsia="zh-CN"/>
        </w:rPr>
        <w:t>2</w:t>
      </w:r>
      <w:r>
        <w:rPr>
          <w:rFonts w:hint="eastAsia" w:ascii="宋体" w:hAnsi="宋体" w:cs="宋体"/>
          <w:sz w:val="30"/>
          <w:szCs w:val="30"/>
        </w:rPr>
        <w:t>01）</w:t>
      </w:r>
    </w:p>
    <w:p>
      <w:pPr>
        <w:spacing w:line="1400" w:lineRule="exact"/>
        <w:jc w:val="center"/>
        <w:rPr>
          <w:rFonts w:ascii="宋体" w:hAnsi="宋体" w:cs="宋体"/>
          <w:b/>
          <w:sz w:val="72"/>
          <w:szCs w:val="72"/>
        </w:rPr>
      </w:pPr>
      <w:r>
        <w:rPr>
          <w:rFonts w:hint="eastAsia" w:ascii="宋体" w:hAnsi="宋体" w:cs="宋体"/>
          <w:b/>
          <w:sz w:val="72"/>
          <w:szCs w:val="72"/>
        </w:rPr>
        <w:t>询价采购文件</w:t>
      </w:r>
    </w:p>
    <w:p>
      <w:pPr>
        <w:spacing w:line="720" w:lineRule="auto"/>
        <w:jc w:val="center"/>
        <w:rPr>
          <w:rFonts w:ascii="宋体" w:hAnsi="宋体" w:cs="宋体"/>
          <w:b/>
          <w:sz w:val="36"/>
        </w:rPr>
      </w:pPr>
      <w:r>
        <w:rPr>
          <w:rFonts w:hint="eastAsia" w:ascii="宋体" w:hAnsi="宋体" w:cs="宋体"/>
          <w:b/>
          <w:sz w:val="44"/>
          <w:szCs w:val="44"/>
        </w:rPr>
        <w:t>（资格后审）</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pStyle w:val="2"/>
        <w:rPr>
          <w:rFonts w:ascii="宋体" w:hAnsi="宋体" w:cs="宋体"/>
          <w:b/>
          <w:sz w:val="36"/>
        </w:rPr>
      </w:pPr>
    </w:p>
    <w:p>
      <w:pPr>
        <w:pStyle w:val="2"/>
        <w:rPr>
          <w:rFonts w:ascii="宋体" w:hAnsi="宋体" w:cs="宋体"/>
          <w:b/>
          <w:sz w:val="36"/>
        </w:rPr>
      </w:pPr>
    </w:p>
    <w:p>
      <w:pPr>
        <w:adjustRightInd w:val="0"/>
        <w:snapToGrid w:val="0"/>
        <w:spacing w:line="360" w:lineRule="auto"/>
        <w:ind w:firstLine="1656" w:firstLineChars="550"/>
        <w:rPr>
          <w:rFonts w:ascii="宋体" w:hAnsi="宋体" w:cs="宋体"/>
          <w:b/>
          <w:sz w:val="30"/>
          <w:szCs w:val="30"/>
        </w:rPr>
      </w:pPr>
      <w:r>
        <w:rPr>
          <w:rFonts w:hint="eastAsia" w:ascii="宋体" w:hAnsi="宋体" w:cs="宋体"/>
          <w:b/>
          <w:sz w:val="30"/>
          <w:szCs w:val="30"/>
        </w:rPr>
        <w:t>采购单位：江苏省南通中学附属实验学校</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二〇二〇年五月</w:t>
      </w: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9"/>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询价公告</w:t>
      </w:r>
    </w:p>
    <w:p>
      <w:pPr>
        <w:pStyle w:val="9"/>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9"/>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9"/>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9"/>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第七章 询价响应文件格式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询价公告</w:t>
      </w:r>
    </w:p>
    <w:p>
      <w:pPr>
        <w:pStyle w:val="10"/>
        <w:widowControl/>
        <w:spacing w:before="372" w:beforeAutospacing="0" w:after="360" w:afterAutospacing="0" w:line="440" w:lineRule="atLeast"/>
        <w:ind w:firstLine="482"/>
        <w:jc w:val="both"/>
        <w:rPr>
          <w:rFonts w:ascii="宋体" w:hAnsi="宋体" w:cs="宋体"/>
          <w:szCs w:val="22"/>
        </w:rPr>
      </w:pPr>
      <w:r>
        <w:rPr>
          <w:rFonts w:hint="eastAsia" w:ascii="宋体" w:hAnsi="宋体" w:cs="宋体"/>
          <w:szCs w:val="22"/>
        </w:rPr>
        <w:t>江苏省南通中学附属实验学校（以下简称采购单位）对</w:t>
      </w:r>
      <w:r>
        <w:rPr>
          <w:rFonts w:hint="eastAsia" w:ascii="宋体" w:hAnsi="宋体" w:cs="宋体"/>
          <w:szCs w:val="22"/>
          <w:u w:val="single"/>
        </w:rPr>
        <w:t>江苏省南通中学附属实验学校高压网络值守及维护项目</w:t>
      </w:r>
      <w:r>
        <w:rPr>
          <w:rFonts w:hint="eastAsia" w:ascii="宋体" w:hAnsi="宋体" w:cs="宋体"/>
          <w:szCs w:val="22"/>
        </w:rPr>
        <w:t>拟用询价方式组织采购。</w:t>
      </w:r>
      <w:r>
        <w:rPr>
          <w:rFonts w:hint="eastAsia" w:ascii="宋体" w:hAnsi="宋体" w:cs="宋体"/>
        </w:rPr>
        <w:t>欢迎符合条件的供应商参加，</w:t>
      </w:r>
      <w:r>
        <w:rPr>
          <w:rFonts w:hint="eastAsia" w:ascii="宋体" w:hAnsi="宋体" w:cs="宋体"/>
          <w:szCs w:val="22"/>
        </w:rPr>
        <w:t>现公告如下：</w:t>
      </w:r>
    </w:p>
    <w:p>
      <w:pPr>
        <w:numPr>
          <w:ilvl w:val="0"/>
          <w:numId w:val="2"/>
        </w:num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项目名称：江苏省南通中学附属实验学校高压网络值守及维护项目</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项目编号：NTTZFX2020051</w:t>
      </w:r>
      <w:r>
        <w:rPr>
          <w:rFonts w:hint="eastAsia" w:ascii="宋体" w:hAnsi="宋体" w:cs="宋体"/>
          <w:sz w:val="24"/>
          <w:szCs w:val="22"/>
          <w:lang w:val="en-US" w:eastAsia="zh-CN"/>
        </w:rPr>
        <w:t>2</w:t>
      </w:r>
      <w:r>
        <w:rPr>
          <w:rFonts w:hint="eastAsia" w:ascii="宋体" w:hAnsi="宋体" w:cs="宋体"/>
          <w:sz w:val="24"/>
          <w:szCs w:val="22"/>
        </w:rPr>
        <w:t>01</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本项目采购预算为3万元（按7个月服务期算），报价超过采购预算的为无效报价。</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（1）询价范围：江苏省南通中学附属实验学校变配电站智能运行、维护管理</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（2）服务地点：江苏省南通中学附属实验学校（南通市崇川区崇州大道2号）</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3）采购期限：三年，合同按自然年度签订。首次签订合同时间为2020年6月1日至2020年12月31日。采购期限内，采购人对供应商履约情况按年考核达到优秀的，可续签下一年度合同。合同期内，如发现供应商不能实质性满足采购人要求，采购人有权终止合同。</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（一）供应商参加询价应当具备的条件，并提供下列材料：</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1、法人或者其他组织的营业执照等证明文件，自然人的身份证明；</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2、上一年度的财务状况报告（成立不满一年不需提供）；</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3、依法缴纳税收和社会保障资金的相关材料；</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4、具备履行合同所必需的设备和专业技术能力的证明材料；</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5、参加政府采购活动前3年内在经营活动中没有重大违法记录的书面声明；</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6、拟派项目成员资质要求：4名具备高压电工操作资格的人员。</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7、拟派所有电工人员均为投标企业正式人员。</w:t>
      </w:r>
    </w:p>
    <w:p>
      <w:p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（二）不接受的情形</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1.不接受联合体参与投标；</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2.不接受单位负责人为同一人或者存在控股、管理关系的不同单位参与同一项目投标。为采购项目提供整体设计、规范编制或者项目管理、监理、检测等服务的供应商，不得再参加该采购项目的其他采购活动。</w:t>
      </w:r>
    </w:p>
    <w:p>
      <w:p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请各询价供应商认真对照资格条件，以上有关资质证明均需在询价文件中提供，原件带至现场备查。如不符合要求的，无意或故意参与询价所产生的一切后果由询价供应商自行承担。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五、询价文件的获取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1、询价文件的下载：有意愿参与本项目询价响应的供应商，请于本公告发布日起至询价响应截止前，到“南通市教育局网 (http://jyj.nantong.gov.cn/)下载本项目的询价文</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询价招标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2、询价响应文件的递交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（1）接收人：采购代理机构；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（2）询价响应文件接收截止及评审开始时间：</w:t>
      </w:r>
      <w:r>
        <w:rPr>
          <w:rFonts w:hint="eastAsia" w:ascii="宋体" w:hAnsi="宋体" w:cs="宋体"/>
          <w:sz w:val="24"/>
          <w:szCs w:val="24"/>
          <w:u w:val="single"/>
        </w:rPr>
        <w:t>2020</w:t>
      </w:r>
      <w:r>
        <w:rPr>
          <w:rFonts w:hint="eastAsia" w:ascii="宋体" w:hAnsi="宋体" w:cs="宋体"/>
          <w:sz w:val="24"/>
          <w:szCs w:val="24"/>
        </w:rPr>
        <w:t>年</w:t>
      </w:r>
      <w:r>
        <w:rPr>
          <w:rFonts w:hint="eastAsia" w:ascii="宋体" w:hAnsi="宋体" w:cs="宋体"/>
          <w:sz w:val="24"/>
          <w:szCs w:val="24"/>
          <w:u w:val="single"/>
        </w:rPr>
        <w:t xml:space="preserve"> 5 </w:t>
      </w:r>
      <w:r>
        <w:rPr>
          <w:rFonts w:hint="eastAsia" w:ascii="宋体" w:hAnsi="宋体" w:cs="宋体"/>
          <w:sz w:val="24"/>
          <w:szCs w:val="24"/>
        </w:rPr>
        <w:t xml:space="preserve"> 月</w:t>
      </w:r>
      <w:r>
        <w:rPr>
          <w:rFonts w:hint="eastAsia" w:ascii="宋体" w:hAnsi="宋体" w:cs="宋体"/>
          <w:sz w:val="24"/>
          <w:szCs w:val="24"/>
          <w:u w:val="single"/>
        </w:rPr>
        <w:t>1</w:t>
      </w:r>
      <w:r>
        <w:rPr>
          <w:rFonts w:hint="eastAsia" w:ascii="宋体" w:hAnsi="宋体" w:cs="宋体"/>
          <w:sz w:val="24"/>
          <w:szCs w:val="24"/>
          <w:u w:val="single"/>
          <w:lang w:val="en-US" w:eastAsia="zh-CN"/>
        </w:rPr>
        <w:t>5</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9 </w:t>
      </w:r>
      <w:r>
        <w:rPr>
          <w:rFonts w:hint="eastAsia" w:ascii="宋体" w:hAnsi="宋体" w:cs="宋体"/>
          <w:sz w:val="24"/>
          <w:szCs w:val="24"/>
        </w:rPr>
        <w:t>时</w:t>
      </w:r>
      <w:r>
        <w:rPr>
          <w:rFonts w:hint="eastAsia" w:ascii="宋体" w:hAnsi="宋体" w:cs="宋体"/>
          <w:sz w:val="24"/>
          <w:szCs w:val="24"/>
          <w:u w:val="single"/>
          <w:lang w:val="en-US" w:eastAsia="zh-CN"/>
        </w:rPr>
        <w:t>00</w:t>
      </w:r>
      <w:r>
        <w:rPr>
          <w:rFonts w:hint="eastAsia" w:ascii="宋体" w:hAnsi="宋体" w:cs="宋体"/>
          <w:sz w:val="24"/>
          <w:szCs w:val="24"/>
          <w:u w:val="single"/>
        </w:rPr>
        <w:t xml:space="preserve"> </w:t>
      </w:r>
      <w:r>
        <w:rPr>
          <w:rFonts w:hint="eastAsia" w:ascii="宋体" w:hAnsi="宋体" w:cs="宋体"/>
          <w:sz w:val="24"/>
          <w:szCs w:val="24"/>
        </w:rPr>
        <w:t>分</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（3）询价响应文件递交地址及评审地址</w:t>
      </w:r>
      <w:r>
        <w:rPr>
          <w:rFonts w:hint="eastAsia" w:ascii="宋体" w:hAnsi="宋体" w:cs="宋体"/>
          <w:sz w:val="24"/>
          <w:szCs w:val="24"/>
          <w:u w:val="single"/>
        </w:rPr>
        <w:t>：</w:t>
      </w:r>
      <w:r>
        <w:rPr>
          <w:rFonts w:hint="eastAsia" w:asciiTheme="minorEastAsia" w:hAnsiTheme="minorEastAsia" w:eastAsiaTheme="minorEastAsia" w:cstheme="minorEastAsia"/>
          <w:sz w:val="24"/>
          <w:szCs w:val="24"/>
          <w:u w:val="single"/>
        </w:rPr>
        <w:t>江苏省南通市中学附属实验学校会议室一，如有变动另行通知</w:t>
      </w:r>
      <w:r>
        <w:rPr>
          <w:rFonts w:hint="eastAsia" w:ascii="宋体" w:hAnsi="宋体" w:cs="宋体"/>
          <w:kern w:val="0"/>
          <w:sz w:val="24"/>
          <w:szCs w:val="24"/>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投标人递交询价响应文件时，投标人的法定代表人（或其授权代理人）必须携带本人身份证、法定代表人身份证明（或授权委托书）原件准时参加开标会议。否则，其询价响应文件不予受理。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七、投标保证金</w:t>
      </w:r>
    </w:p>
    <w:p>
      <w:pPr>
        <w:widowControl/>
        <w:spacing w:line="360" w:lineRule="auto"/>
        <w:ind w:firstLine="480" w:firstLineChars="200"/>
        <w:rPr>
          <w:rFonts w:ascii="宋体" w:hAnsi="宋体" w:cs="宋体"/>
          <w:bCs/>
          <w:kern w:val="0"/>
          <w:sz w:val="24"/>
          <w:szCs w:val="24"/>
        </w:rPr>
      </w:pPr>
      <w:r>
        <w:rPr>
          <w:rFonts w:hint="eastAsia" w:ascii="宋体" w:hAnsi="宋体" w:cs="宋体"/>
          <w:kern w:val="0"/>
          <w:sz w:val="24"/>
          <w:szCs w:val="24"/>
        </w:rPr>
        <w:t>1、本次项目投标保证金为：人民币陆佰元整（¥600）</w:t>
      </w:r>
      <w:r>
        <w:rPr>
          <w:rFonts w:hint="eastAsia" w:ascii="宋体" w:hAnsi="宋体" w:cs="宋体"/>
          <w:bCs/>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2、询价响应保证金</w:t>
      </w:r>
      <w:r>
        <w:rPr>
          <w:rFonts w:hint="eastAsia" w:ascii="宋体" w:hAnsi="宋体" w:cs="宋体"/>
          <w:b/>
          <w:kern w:val="0"/>
          <w:sz w:val="24"/>
          <w:szCs w:val="24"/>
          <w:u w:val="single"/>
        </w:rPr>
        <w:t xml:space="preserve">  </w:t>
      </w:r>
      <w:r>
        <w:rPr>
          <w:rFonts w:hint="eastAsia" w:ascii="宋体" w:hAnsi="宋体" w:cs="宋体"/>
          <w:kern w:val="0"/>
          <w:sz w:val="24"/>
          <w:szCs w:val="24"/>
          <w:u w:val="single"/>
        </w:rPr>
        <w:t xml:space="preserve">采用现金（须用信封单独密封） </w:t>
      </w:r>
      <w:r>
        <w:rPr>
          <w:rFonts w:hint="eastAsia" w:ascii="宋体" w:hAnsi="宋体" w:cs="宋体"/>
          <w:kern w:val="0"/>
          <w:sz w:val="24"/>
          <w:szCs w:val="24"/>
        </w:rPr>
        <w:t>的形式，带至询价现场，在递交询价响应文件时交给采购代理机构。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3、未按上述要求提交询价保证金的报价人，招标采购单位有权拒绝其询价响应文件。</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4、未成交供应商的询价保证金，当场退还。成交人的询价保证金转为履约保证金，在合同履行完成后</w:t>
      </w:r>
      <w:r>
        <w:rPr>
          <w:rFonts w:hint="eastAsia" w:ascii="宋体" w:hAnsi="宋体" w:cs="宋体"/>
          <w:b/>
          <w:kern w:val="0"/>
          <w:sz w:val="24"/>
          <w:szCs w:val="24"/>
          <w:u w:val="single"/>
        </w:rPr>
        <w:t xml:space="preserve"> 1</w:t>
      </w:r>
      <w:r>
        <w:rPr>
          <w:rFonts w:hint="eastAsia" w:ascii="宋体" w:hAnsi="宋体" w:cs="宋体"/>
          <w:kern w:val="0"/>
          <w:sz w:val="24"/>
          <w:szCs w:val="24"/>
          <w:u w:val="single"/>
        </w:rPr>
        <w:t>5个工作日内</w:t>
      </w:r>
      <w:r>
        <w:rPr>
          <w:rFonts w:hint="eastAsia" w:ascii="宋体" w:hAnsi="宋体" w:cs="宋体"/>
          <w:b/>
          <w:kern w:val="0"/>
          <w:sz w:val="24"/>
          <w:szCs w:val="24"/>
          <w:u w:val="single"/>
        </w:rPr>
        <w:t xml:space="preserve">   </w:t>
      </w:r>
      <w:r>
        <w:rPr>
          <w:rFonts w:hint="eastAsia" w:ascii="宋体" w:hAnsi="宋体" w:cs="宋体"/>
          <w:kern w:val="0"/>
          <w:sz w:val="24"/>
          <w:szCs w:val="24"/>
        </w:rPr>
        <w:t xml:space="preserve"> ，予以退还（无息）。</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5、发生下列情况之一，询价保证金将不予退还。</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（2）供应商与采购人、其他供应商或者采购代理机构恶意串通的；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（3）除因不可抗力或询价文件认可的情形以外，成交人不与采购人签订合同的；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（5）成交人在询价过程中提供虚假资料等违反相关法律法规行为的；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（6）询价文件规定的其他情形。</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八、履约保证金</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成交供应商在与招标人签订合同时，投标保证金转为合同履约保证金。</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九、开标、评标</w:t>
      </w:r>
    </w:p>
    <w:p>
      <w:pPr>
        <w:widowControl/>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rPr>
        <w:t>1、时间：</w:t>
      </w:r>
      <w:r>
        <w:rPr>
          <w:rFonts w:hint="eastAsia" w:ascii="宋体" w:hAnsi="宋体" w:cs="宋体"/>
          <w:kern w:val="0"/>
          <w:sz w:val="24"/>
          <w:szCs w:val="24"/>
          <w:u w:val="single"/>
        </w:rPr>
        <w:t>2020年5月1</w:t>
      </w:r>
      <w:r>
        <w:rPr>
          <w:rFonts w:hint="eastAsia" w:ascii="宋体" w:hAnsi="宋体" w:cs="宋体"/>
          <w:kern w:val="0"/>
          <w:sz w:val="24"/>
          <w:szCs w:val="24"/>
          <w:u w:val="single"/>
          <w:lang w:val="en-US" w:eastAsia="zh-CN"/>
        </w:rPr>
        <w:t>5</w:t>
      </w:r>
      <w:r>
        <w:rPr>
          <w:rFonts w:hint="eastAsia" w:ascii="宋体" w:hAnsi="宋体" w:cs="宋体"/>
          <w:kern w:val="0"/>
          <w:sz w:val="24"/>
          <w:szCs w:val="24"/>
          <w:u w:val="single"/>
        </w:rPr>
        <w:t>日9时</w:t>
      </w:r>
      <w:r>
        <w:rPr>
          <w:rFonts w:hint="eastAsia" w:ascii="宋体" w:hAnsi="宋体" w:cs="宋体"/>
          <w:kern w:val="0"/>
          <w:sz w:val="24"/>
          <w:szCs w:val="24"/>
          <w:u w:val="single"/>
          <w:lang w:val="en-US" w:eastAsia="zh-CN"/>
        </w:rPr>
        <w:t>00</w:t>
      </w:r>
      <w:r>
        <w:rPr>
          <w:rFonts w:hint="eastAsia" w:ascii="宋体" w:hAnsi="宋体" w:cs="宋体"/>
          <w:kern w:val="0"/>
          <w:sz w:val="24"/>
          <w:szCs w:val="24"/>
          <w:u w:val="single"/>
        </w:rPr>
        <w:t xml:space="preserve"> 分；</w:t>
      </w:r>
    </w:p>
    <w:p>
      <w:pPr>
        <w:autoSpaceDE w:val="0"/>
        <w:autoSpaceDN w:val="0"/>
        <w:adjustRightInd w:val="0"/>
        <w:spacing w:line="360" w:lineRule="auto"/>
        <w:ind w:firstLine="480" w:firstLineChars="200"/>
        <w:rPr>
          <w:rFonts w:ascii="宋体" w:hAnsi="宋体" w:cs="宋体"/>
          <w:sz w:val="24"/>
          <w:szCs w:val="24"/>
          <w:u w:val="single"/>
        </w:rPr>
      </w:pPr>
      <w:r>
        <w:rPr>
          <w:rFonts w:hint="eastAsia" w:ascii="宋体" w:hAnsi="宋体" w:cs="宋体"/>
          <w:kern w:val="0"/>
          <w:sz w:val="24"/>
          <w:szCs w:val="24"/>
        </w:rPr>
        <w:t>2、地点：</w:t>
      </w:r>
      <w:r>
        <w:rPr>
          <w:rFonts w:hint="eastAsia" w:asciiTheme="minorEastAsia" w:hAnsiTheme="minorEastAsia" w:eastAsiaTheme="minorEastAsia" w:cstheme="minorEastAsia"/>
          <w:sz w:val="24"/>
          <w:szCs w:val="24"/>
          <w:u w:val="single"/>
        </w:rPr>
        <w:t>江苏省南通市中学附属实验学校会议室一，如有变动另行通知</w:t>
      </w:r>
      <w:r>
        <w:rPr>
          <w:rFonts w:hint="eastAsia" w:ascii="宋体" w:hAnsi="宋体" w:cs="宋体"/>
          <w:kern w:val="0"/>
          <w:sz w:val="24"/>
          <w:szCs w:val="24"/>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rPr>
        <w:t>3、评标流程:评委将依法对供应商的资格进行审查，审查通过方可参与项目的价格评标。符合要求的前提下，报价最低者成交,报价如有相同者，抽签确定成交供应商。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0"/>
        <w:shd w:val="clear" w:color="auto" w:fill="FFFFFF"/>
        <w:spacing w:before="0" w:beforeAutospacing="0" w:after="0" w:afterAutospacing="0" w:line="338" w:lineRule="atLeast"/>
        <w:ind w:firstLine="482" w:firstLineChars="200"/>
        <w:rPr>
          <w:rStyle w:val="14"/>
        </w:rPr>
      </w:pPr>
      <w:r>
        <w:rPr>
          <w:rFonts w:hint="eastAsia" w:ascii="宋体" w:hAnsi="宋体" w:cs="宋体"/>
          <w:b/>
          <w:bCs/>
          <w:szCs w:val="22"/>
        </w:rPr>
        <w:t>十、</w:t>
      </w:r>
      <w:r>
        <w:rPr>
          <w:rStyle w:val="14"/>
          <w:rFonts w:hint="eastAsia"/>
        </w:rPr>
        <w:t>成交原则</w:t>
      </w:r>
    </w:p>
    <w:p>
      <w:pPr>
        <w:spacing w:line="360" w:lineRule="auto"/>
        <w:ind w:firstLine="420" w:firstLineChars="200"/>
        <w:outlineLvl w:val="1"/>
        <w:rPr>
          <w:rFonts w:ascii="宋体" w:hAnsi="宋体" w:cs="宋体"/>
          <w:b/>
          <w:bCs/>
          <w:sz w:val="24"/>
          <w:szCs w:val="22"/>
        </w:rPr>
      </w:pPr>
      <w:r>
        <w:rPr>
          <w:rFonts w:hint="eastAsia"/>
        </w:rPr>
        <w:t>采用一次报价方式。按照质量和服务均能满足询价采购文件实质性响应要求且报价最低的原则，确定成交供应商。如出现两家及以上相同的最低报价，则由采购人代理现场抽签确定成交供应商。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十一、联系方式</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单位：江苏省南通市中学附属实验学校</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联系人：周  鑫</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电话：18352653193</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单位：江苏中润工程建设咨询有限公司</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联系人：高  工</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电话：15962756653</w:t>
      </w:r>
    </w:p>
    <w:p>
      <w:pPr>
        <w:pStyle w:val="3"/>
        <w:keepNext w:val="0"/>
        <w:keepLines w:val="0"/>
        <w:adjustRightInd w:val="0"/>
        <w:snapToGrid w:val="0"/>
        <w:spacing w:before="0" w:after="0" w:line="360" w:lineRule="auto"/>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bCs/>
          <w:kern w:val="2"/>
          <w:szCs w:val="44"/>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二、询价报价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6、询价响应人应详细阅读询价文件的全部内容，根据采购项目需求，必须对本采购项目全部进行报价，如有漏项，视同对本项目的优惠。不按询价文件的要求提供响应文件，导致报价无效，按无效投标处理。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三、投标费用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1、无论询价过程和结果如何，参加询价的响应人自行承担与本次项目询价有关的全部费用。询价文件售价300元/份，在递交询价响应文件的同时提交给招标代理机构。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2、本项目评委费1500元，由成交供应商向采购招标代理机构支付，投标人须综合考虑在投标响应报价内。评委费由成交供应商在领取成交通知书时支付给代理机构。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3、询价文件未列明，而投标供应商认为必需的费用也需列入报价。</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（一）询价响应文件应包括下列内容：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napToGrid w:val="0"/>
        <w:spacing w:line="360" w:lineRule="auto"/>
        <w:ind w:firstLine="480" w:firstLineChars="200"/>
        <w:rPr>
          <w:rFonts w:ascii="宋体" w:hAnsi="宋体" w:cs="宋体"/>
          <w:sz w:val="24"/>
          <w:szCs w:val="24"/>
        </w:rPr>
      </w:pPr>
      <w:bookmarkStart w:id="0" w:name="_Hlk37946189"/>
      <w:r>
        <w:rPr>
          <w:rFonts w:hint="eastAsia" w:ascii="宋体" w:hAnsi="宋体" w:cs="宋体"/>
          <w:sz w:val="24"/>
          <w:szCs w:val="24"/>
        </w:rPr>
        <w:t>1、法定代表人参加询价的提供法人代表身份证明及本人身份证复印件；非法人代表参加询价的，提供法人委托书原件、被委托人身份证复印件；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2、有效的营业执照（副本）的复印件（加盖公章）；</w:t>
      </w:r>
    </w:p>
    <w:p>
      <w:pPr>
        <w:adjustRightInd w:val="0"/>
        <w:snapToGrid w:val="0"/>
        <w:spacing w:line="360" w:lineRule="auto"/>
        <w:ind w:firstLine="480" w:firstLineChars="200"/>
        <w:rPr>
          <w:rFonts w:ascii="宋体" w:hAnsi="宋体" w:cs="宋体"/>
          <w:sz w:val="24"/>
          <w:szCs w:val="24"/>
        </w:rPr>
      </w:pP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3、上一年度的财务状况报告（成立不满一年不需提供）；</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4、依法缴纳税收和社会保障资金的相关材料；</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5、具备履行合同所必需的设备和专业技术能力的证明材料；</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6、参加政府采购活动前3年内在经营活动中没有重大违法记录的书面声明；</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7、拟派4名高压电工操作资格证书复印件（加盖公章，原件备查）；</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8、拟派所有电工人员均为投标企业正式人员（提供2019年11月至</w:t>
      </w:r>
      <w:r>
        <w:rPr>
          <w:rFonts w:hint="eastAsia" w:ascii="宋体" w:hAnsi="宋体" w:cs="宋体"/>
          <w:sz w:val="24"/>
          <w:szCs w:val="24"/>
          <w:highlight w:val="none"/>
        </w:rPr>
        <w:t>2020年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rPr>
        <w:t>社保机构出具的投标企业为其缴纳的养老保险缴费证明）。</w:t>
      </w:r>
    </w:p>
    <w:bookmarkEnd w:id="0"/>
    <w:p>
      <w:pPr>
        <w:adjustRightInd w:val="0"/>
        <w:snapToGrid w:val="0"/>
        <w:spacing w:line="360" w:lineRule="auto"/>
        <w:ind w:firstLine="480" w:firstLineChars="200"/>
      </w:pPr>
      <w:r>
        <w:rPr>
          <w:rFonts w:hint="eastAsia" w:ascii="宋体" w:hAnsi="宋体" w:cs="宋体"/>
          <w:sz w:val="24"/>
          <w:szCs w:val="24"/>
        </w:rPr>
        <w:t>9、第七章资格审查文件相关表格。</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商务报价应包括询价文件所确定的全部范围及相应说明的全部内容，包括本次项目实施中的所有费用。</w:t>
      </w:r>
    </w:p>
    <w:p>
      <w:pPr>
        <w:numPr>
          <w:ilvl w:val="0"/>
          <w:numId w:val="3"/>
        </w:numPr>
        <w:spacing w:line="360" w:lineRule="auto"/>
        <w:ind w:firstLine="480" w:firstLineChars="200"/>
        <w:rPr>
          <w:rFonts w:ascii="宋体" w:hAnsi="宋体" w:cs="宋体"/>
          <w:sz w:val="24"/>
          <w:szCs w:val="24"/>
        </w:rPr>
      </w:pPr>
      <w:r>
        <w:rPr>
          <w:rFonts w:hint="eastAsia" w:ascii="宋体" w:hAnsi="宋体" w:cs="宋体"/>
          <w:sz w:val="24"/>
          <w:szCs w:val="24"/>
        </w:rPr>
        <w:t>报价单。</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特别提醒：响应文件所须提供的材料（须加盖投标供应商公章）按询价文件要求装订，密封，递交。</w:t>
      </w:r>
    </w:p>
    <w:p>
      <w:pPr>
        <w:numPr>
          <w:ilvl w:val="0"/>
          <w:numId w:val="4"/>
        </w:numPr>
        <w:spacing w:line="360" w:lineRule="auto"/>
        <w:ind w:firstLine="482" w:firstLineChars="200"/>
        <w:rPr>
          <w:rFonts w:ascii="宋体" w:hAnsi="宋体" w:cs="宋体"/>
          <w:b/>
          <w:sz w:val="24"/>
          <w:szCs w:val="24"/>
        </w:rPr>
      </w:pPr>
      <w:r>
        <w:rPr>
          <w:rFonts w:hint="eastAsia" w:ascii="宋体" w:hAnsi="宋体" w:cs="宋体"/>
          <w:b/>
          <w:sz w:val="24"/>
          <w:szCs w:val="24"/>
        </w:rPr>
        <w:t>询价响应文件的编制及装订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1、询价响应文件由：①资格审查文件、②商务报价响应文件共两部分组成。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3、询价响应文件的 “资格审查文件”、 “商务报价响应文件”各自装订成册。特别提示：“商务报价响应文件”必须单独装订和封装，不得出现在“资格审查文件”中。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（三）询价响应文件的份数、签署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份完整的询价响应文件，其中正本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3、供应商可将询价响应文件正副本统一密封或分别密封，如正本和副本分别密封的，应在封袋上标明正、副本字样。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4、询价响应文件正本须按询价文件要求由法定代表人或被授权人签字或盖章并加盖单位印章。副本可复印，但须加盖单位印章。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五、本询价文件由采购单位解释。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1、供应商下载询价文件后，应仔细检查询价文件的所有内容，如有内容或页码残缺、资格要求和技术参数含有倾向性或排他性等表述的，</w:t>
      </w:r>
      <w:r>
        <w:rPr>
          <w:rFonts w:hint="eastAsia" w:ascii="宋体" w:hAnsi="宋体" w:cs="宋体"/>
          <w:b/>
          <w:sz w:val="24"/>
          <w:szCs w:val="24"/>
        </w:rPr>
        <w:t>请在询价文件发布后1个工作日内，以书面形式提出询问或疑问</w:t>
      </w:r>
      <w:r>
        <w:rPr>
          <w:rFonts w:hint="eastAsia" w:ascii="宋体" w:hAnsi="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3、本项目采购公告和文件在</w:t>
      </w:r>
      <w:r>
        <w:rPr>
          <w:rFonts w:hint="eastAsia" w:asciiTheme="minorEastAsia" w:hAnsiTheme="minorEastAsia" w:eastAsiaTheme="minorEastAsia" w:cstheme="minorEastAsia"/>
          <w:sz w:val="24"/>
          <w:szCs w:val="24"/>
        </w:rPr>
        <w:t>“南通市教育局网 (http://jyj.nantong.gov.cn/)</w:t>
      </w:r>
      <w:r>
        <w:rPr>
          <w:rFonts w:hint="eastAsia" w:ascii="宋体" w:hAnsi="宋体" w:cs="宋体"/>
          <w:kern w:val="0"/>
          <w:sz w:val="24"/>
          <w:szCs w:val="24"/>
        </w:rPr>
        <w:t>发布。</w:t>
      </w:r>
      <w:r>
        <w:rPr>
          <w:rFonts w:hint="eastAsia" w:ascii="宋体" w:hAnsi="宋体" w:cs="宋体"/>
          <w:sz w:val="24"/>
          <w:szCs w:val="24"/>
        </w:rPr>
        <w:t xml:space="preserve">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5、采购单位、采购代理机构可视情组织答疑会。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江苏省南通中学附属实验学校高压网络值守及维护项目采用询价方式组织采购，现相关需求如下：</w:t>
      </w:r>
    </w:p>
    <w:p>
      <w:pPr>
        <w:ind w:firstLine="482" w:firstLineChars="200"/>
        <w:jc w:val="left"/>
        <w:rPr>
          <w:rFonts w:ascii="宋体" w:hAnsi="宋体" w:cs="宋体"/>
          <w:b/>
          <w:sz w:val="24"/>
        </w:rPr>
      </w:pPr>
      <w:r>
        <w:rPr>
          <w:rFonts w:hint="eastAsia" w:ascii="宋体" w:hAnsi="宋体" w:cs="宋体"/>
          <w:b/>
          <w:bCs/>
          <w:sz w:val="24"/>
        </w:rPr>
        <w:t>一、询价</w:t>
      </w:r>
      <w:r>
        <w:rPr>
          <w:rFonts w:hint="eastAsia" w:ascii="宋体" w:hAnsi="宋体" w:cs="宋体"/>
          <w:b/>
          <w:sz w:val="24"/>
        </w:rPr>
        <w:t>内容：</w:t>
      </w:r>
    </w:p>
    <w:p>
      <w:pPr>
        <w:spacing w:line="360" w:lineRule="auto"/>
        <w:ind w:firstLine="480" w:firstLineChars="200"/>
        <w:rPr>
          <w:rFonts w:ascii="宋体" w:hAnsi="宋体" w:cs="宋体"/>
          <w:sz w:val="24"/>
          <w:szCs w:val="24"/>
        </w:rPr>
      </w:pPr>
      <w:r>
        <w:rPr>
          <w:rFonts w:hint="eastAsia" w:ascii="宋体" w:hAnsi="宋体" w:cs="宋体"/>
          <w:sz w:val="24"/>
          <w:szCs w:val="24"/>
        </w:rPr>
        <w:t>1.采购项目：江苏省南通中学附属实验学校高压网络值守及维护项目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2.项目编号：NTTZFX2020051</w:t>
      </w:r>
      <w:r>
        <w:rPr>
          <w:rFonts w:hint="eastAsia" w:ascii="宋体" w:hAnsi="宋体" w:cs="宋体"/>
          <w:kern w:val="0"/>
          <w:sz w:val="24"/>
          <w:szCs w:val="22"/>
          <w:lang w:val="en-US" w:eastAsia="zh-CN"/>
        </w:rPr>
        <w:t>2</w:t>
      </w:r>
      <w:bookmarkStart w:id="5" w:name="_GoBack"/>
      <w:bookmarkEnd w:id="5"/>
      <w:r>
        <w:rPr>
          <w:rFonts w:hint="eastAsia" w:ascii="宋体" w:hAnsi="宋体" w:cs="宋体"/>
          <w:kern w:val="0"/>
          <w:sz w:val="24"/>
          <w:szCs w:val="22"/>
        </w:rPr>
        <w:t>01</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3.项目需求：</w:t>
      </w:r>
    </w:p>
    <w:p>
      <w:pPr>
        <w:widowControl/>
        <w:spacing w:line="360" w:lineRule="auto"/>
        <w:ind w:firstLine="480" w:firstLineChars="200"/>
        <w:rPr>
          <w:rFonts w:ascii="宋体" w:hAnsi="宋体" w:cs="宋体"/>
          <w:kern w:val="0"/>
          <w:sz w:val="24"/>
          <w:szCs w:val="22"/>
        </w:rPr>
      </w:pPr>
      <w:bookmarkStart w:id="2" w:name="_Toc495146866"/>
      <w:r>
        <w:rPr>
          <w:rFonts w:hint="eastAsia" w:ascii="宋体" w:hAnsi="宋体" w:cs="宋体"/>
          <w:kern w:val="0"/>
          <w:sz w:val="24"/>
          <w:szCs w:val="22"/>
        </w:rPr>
        <w:t>供应商需自行完成配电间内10KV高压电气设备、400V进线总开关信息采集接入监控云平台，及与现有楼层能耗监测系统的兼容对接，同时不影响能耗采集数据上传南通市建筑能耗监测平台，改造接入费用由供应商自行承担。负责变配电室内10KV高压电气设备相关工作（10KV高压进户电缆至变压器的400V低压总开关柜的开关进线桩头），并对其全天24小时远程监控，发现异常情况及时派人处理，有重大突发事件及时向业主汇报。能满足供电公司的相关要求，负责托管范围内的设备的所有操作，以及相关运行管理。</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A、接入云平台要求</w:t>
      </w:r>
      <w:bookmarkEnd w:id="2"/>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智能化接入云平台的建设，一方面应考虑当下的需求，同时运用云计算管理技术，兼顾后期的扩容。在此次方案的设计中要考虑到：</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更高的资源利用率，降低管理成本--云平台的集成；</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使用灵活性，更高的可用性--弹性体系结构；</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互操作性和投资保护，更高的可扩展性--为后期可扩容的开源平台；</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与现有楼层能耗监测管理系统可以兼容对接：</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目前南通中学附属实验学校现有能耗监测管理系统及采集设备、数据平台基本情况如下：</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各楼需采集的的计量表具（智能电表、远传水表）通过485通讯线相连接，汇聚至每楼一层弱电间的通讯箱，经串口服务器转换后通过网络将所有采集点的能耗数据汇集至机房。</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设置智能数据网关设备和云节点管理机，对采集的能耗数据进行存储和处理，同时通过互联网通信接口接入到云平台数据中心。</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云平台提供WEB、APP客户端。在监控中心设置当地监控工作站，通过浏览器访问云数据中心获得所有能源监测信息。用户也可通过智能手机APP访问平台信息。</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同时云平台中心通过数据转发的方式将能耗采集数据上传南通市建筑能耗监测平台。</w:t>
      </w:r>
    </w:p>
    <w:p>
      <w:pPr>
        <w:widowControl/>
        <w:spacing w:line="360" w:lineRule="auto"/>
        <w:ind w:firstLine="480" w:firstLineChars="200"/>
        <w:rPr>
          <w:rFonts w:ascii="宋体" w:hAnsi="宋体" w:cs="宋体"/>
          <w:kern w:val="0"/>
          <w:sz w:val="24"/>
          <w:szCs w:val="22"/>
        </w:rPr>
      </w:pPr>
      <w:bookmarkStart w:id="3" w:name="_Toc525367742"/>
      <w:r>
        <w:rPr>
          <w:rFonts w:hint="eastAsia" w:ascii="宋体" w:hAnsi="宋体" w:cs="宋体"/>
          <w:kern w:val="0"/>
          <w:sz w:val="24"/>
          <w:szCs w:val="22"/>
        </w:rPr>
        <w:t>能耗采集装置</w:t>
      </w:r>
      <w:bookmarkEnd w:id="3"/>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（1）智能电表</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杭州瑞控科技有限公司</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RK01-903E</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功能特性：</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全电量采集：电压、电流、有功、无功、电能、频率；</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高精度电能计量：0.5S级</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支持2DI、1DO、1AO扩展功能</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支持RS-485通信接口，便于系统集成</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高亮度LED显示，体积小巧</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（2）远传水表</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宁波福佳 LXS-40E 远传水表</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功能特性：</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用于计量流经自来水管道的水的总量，各项技术性能指标均达到GB/T778-2007标准要求，具有外形美观、读数清晰、计量准确的特点。</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数据采集方式为计数直读式，计数直读远传水表主要是为了适应远程能耗在线监测之用，采用RS485-MODBUS通讯协议。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（3）智能采集器设备</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上海方融FR-DA-BB2040 云节点管理机</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功能特性：</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1)支持Modbus开放式协议;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2)支持多种类型的计量装置或设备进行数据采集,包括电能表(含单相电能表、三相电能表、多功能电能表)、水表、燃气表、热（冷）量表、温、湿度传感器等;具有接收计量装置输出的标准RS485信号;</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3)拥有丰富的可拓展接口,拥有4个以上的RS485接口,2个以上的RS232接口及2个以上的RJ45接口,总线接口支持自定义波特率,支持全双工及半双工通讯方式,支持不少于500台计量装置的采集; 本地保存能耗数据≥10年</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4)支持断点续传功能,即如因传输网络故障等原因未能将数据定时远传,则待传输网络恢复正常后平台管理主机应利用存储的数据进行断点续传;支持向多个数据中心(服务器)发送数据;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5)管理主机集通讯管理机、数据服务器、系统主机三大部分功能于一身,协调间隔设备的数据、命令交换,收集并存储配不同类型仪表的实时数据,以不同规约、不同的通讯媒介向上级站进行转发,同时也接收来自上级站的下行命令,转发至各间隔设备单元;</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B、接入监控云平台功能需求：</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监控云平台功能应具备以下功能：10KV一次系统图监控功能、手机APP视频功能、越实限时告警功能、能效分析和管理功能、报表定制及导出功能、操作票功能</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C、服务内容需求</w:t>
      </w:r>
    </w:p>
    <w:tbl>
      <w:tblPr>
        <w:tblStyle w:val="11"/>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1012"/>
        <w:gridCol w:w="1058"/>
        <w:gridCol w:w="1280"/>
        <w:gridCol w:w="457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9040" w:type="dxa"/>
            <w:gridSpan w:val="6"/>
            <w:noWrap/>
            <w:tcMar>
              <w:top w:w="15" w:type="dxa"/>
              <w:left w:w="15" w:type="dxa"/>
              <w:right w:w="15" w:type="dxa"/>
            </w:tcMar>
            <w:vAlign w:val="center"/>
          </w:tcPr>
          <w:p>
            <w:pPr>
              <w:widowControl/>
              <w:jc w:val="center"/>
              <w:rPr>
                <w:rFonts w:ascii="宋体" w:hAnsi="宋体" w:cs="宋体"/>
                <w:b/>
                <w:bCs/>
                <w:kern w:val="0"/>
                <w:sz w:val="24"/>
                <w:szCs w:val="24"/>
              </w:rPr>
            </w:pPr>
            <w:r>
              <w:rPr>
                <w:rFonts w:ascii="宋体" w:hAnsi="宋体" w:cs="宋体"/>
                <w:b/>
                <w:bCs/>
                <w:kern w:val="0"/>
                <w:sz w:val="24"/>
                <w:szCs w:val="24"/>
              </w:rPr>
              <w:t>变电站智能运维 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restart"/>
            <w:tcMar>
              <w:top w:w="15" w:type="dxa"/>
              <w:left w:w="15" w:type="dxa"/>
              <w:right w:w="15" w:type="dxa"/>
            </w:tcMar>
            <w:vAlign w:val="center"/>
          </w:tcPr>
          <w:p>
            <w:pPr>
              <w:widowControl/>
              <w:jc w:val="center"/>
              <w:rPr>
                <w:rFonts w:ascii="宋体" w:hAnsi="宋体" w:cs="宋体"/>
                <w:b/>
                <w:bCs/>
                <w:kern w:val="0"/>
                <w:sz w:val="24"/>
                <w:szCs w:val="24"/>
              </w:rPr>
            </w:pPr>
            <w:r>
              <w:rPr>
                <w:rFonts w:ascii="宋体" w:hAnsi="宋体" w:cs="宋体"/>
                <w:b/>
                <w:bCs/>
                <w:kern w:val="0"/>
                <w:sz w:val="24"/>
                <w:szCs w:val="24"/>
              </w:rPr>
              <w:t>序号</w:t>
            </w:r>
          </w:p>
        </w:tc>
        <w:tc>
          <w:tcPr>
            <w:tcW w:w="1012" w:type="dxa"/>
            <w:vMerge w:val="restart"/>
            <w:noWrap/>
            <w:tcMar>
              <w:top w:w="15" w:type="dxa"/>
              <w:left w:w="15" w:type="dxa"/>
              <w:right w:w="15" w:type="dxa"/>
            </w:tcMar>
            <w:vAlign w:val="center"/>
          </w:tcPr>
          <w:p>
            <w:pPr>
              <w:widowControl/>
              <w:jc w:val="center"/>
              <w:rPr>
                <w:rFonts w:ascii="宋体" w:hAnsi="宋体" w:cs="宋体"/>
                <w:b/>
                <w:bCs/>
                <w:kern w:val="0"/>
                <w:sz w:val="24"/>
                <w:szCs w:val="24"/>
              </w:rPr>
            </w:pPr>
            <w:r>
              <w:rPr>
                <w:rFonts w:ascii="宋体" w:hAnsi="宋体" w:cs="宋体"/>
                <w:b/>
                <w:bCs/>
                <w:kern w:val="0"/>
                <w:sz w:val="24"/>
                <w:szCs w:val="24"/>
              </w:rPr>
              <w:t>分类1</w:t>
            </w:r>
          </w:p>
        </w:tc>
        <w:tc>
          <w:tcPr>
            <w:tcW w:w="2338" w:type="dxa"/>
            <w:gridSpan w:val="2"/>
            <w:vMerge w:val="restart"/>
            <w:noWrap/>
            <w:tcMar>
              <w:top w:w="15" w:type="dxa"/>
              <w:left w:w="15" w:type="dxa"/>
              <w:right w:w="15" w:type="dxa"/>
            </w:tcMar>
            <w:vAlign w:val="center"/>
          </w:tcPr>
          <w:p>
            <w:pPr>
              <w:widowControl/>
              <w:jc w:val="center"/>
              <w:rPr>
                <w:rFonts w:ascii="宋体" w:hAnsi="宋体" w:cs="宋体"/>
                <w:b/>
                <w:bCs/>
                <w:kern w:val="0"/>
                <w:sz w:val="24"/>
                <w:szCs w:val="24"/>
              </w:rPr>
            </w:pPr>
            <w:r>
              <w:rPr>
                <w:rFonts w:ascii="宋体" w:hAnsi="宋体" w:cs="宋体"/>
                <w:b/>
                <w:bCs/>
                <w:kern w:val="0"/>
                <w:sz w:val="24"/>
                <w:szCs w:val="24"/>
              </w:rPr>
              <w:t>分类2</w:t>
            </w:r>
          </w:p>
        </w:tc>
        <w:tc>
          <w:tcPr>
            <w:tcW w:w="4575" w:type="dxa"/>
            <w:vMerge w:val="restart"/>
            <w:noWrap/>
            <w:tcMar>
              <w:top w:w="15" w:type="dxa"/>
              <w:left w:w="15" w:type="dxa"/>
              <w:right w:w="15" w:type="dxa"/>
            </w:tcMar>
            <w:vAlign w:val="center"/>
          </w:tcPr>
          <w:p>
            <w:pPr>
              <w:widowControl/>
              <w:jc w:val="center"/>
              <w:rPr>
                <w:rFonts w:ascii="宋体" w:hAnsi="宋体" w:cs="宋体"/>
                <w:b/>
                <w:bCs/>
                <w:kern w:val="0"/>
                <w:sz w:val="24"/>
                <w:szCs w:val="24"/>
              </w:rPr>
            </w:pPr>
            <w:r>
              <w:rPr>
                <w:rFonts w:ascii="宋体" w:hAnsi="宋体" w:cs="宋体"/>
                <w:b/>
                <w:bCs/>
                <w:kern w:val="0"/>
                <w:sz w:val="24"/>
                <w:szCs w:val="24"/>
              </w:rPr>
              <w:t>内容描述</w:t>
            </w:r>
          </w:p>
        </w:tc>
        <w:tc>
          <w:tcPr>
            <w:tcW w:w="665" w:type="dxa"/>
            <w:vMerge w:val="restart"/>
            <w:tcMar>
              <w:top w:w="15" w:type="dxa"/>
              <w:left w:w="15" w:type="dxa"/>
              <w:right w:w="15" w:type="dxa"/>
            </w:tcMar>
            <w:vAlign w:val="center"/>
          </w:tcPr>
          <w:p>
            <w:pPr>
              <w:widowControl/>
              <w:jc w:val="center"/>
              <w:rPr>
                <w:rFonts w:ascii="宋体" w:hAnsi="宋体" w:cs="宋体"/>
                <w:b/>
                <w:bCs/>
                <w:kern w:val="0"/>
                <w:sz w:val="24"/>
                <w:szCs w:val="24"/>
              </w:rPr>
            </w:pPr>
            <w:r>
              <w:rPr>
                <w:rFonts w:ascii="宋体" w:hAnsi="宋体" w:cs="宋体"/>
                <w:b/>
                <w:bCs/>
                <w:kern w:val="0"/>
                <w:sz w:val="24"/>
                <w:szCs w:val="24"/>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2338" w:type="dxa"/>
            <w:gridSpan w:val="2"/>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665" w:type="dxa"/>
            <w:vMerge w:val="continue"/>
            <w:tcMar>
              <w:top w:w="15" w:type="dxa"/>
              <w:left w:w="15" w:type="dxa"/>
              <w:right w:w="15" w:type="dxa"/>
            </w:tcMar>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50" w:type="dxa"/>
            <w:vMerge w:val="continue"/>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2338" w:type="dxa"/>
            <w:gridSpan w:val="2"/>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665" w:type="dxa"/>
            <w:vMerge w:val="continue"/>
            <w:tcMar>
              <w:top w:w="15" w:type="dxa"/>
              <w:left w:w="15" w:type="dxa"/>
              <w:right w:w="15" w:type="dxa"/>
            </w:tcMar>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1</w:t>
            </w:r>
          </w:p>
        </w:tc>
        <w:tc>
          <w:tcPr>
            <w:tcW w:w="1012"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信息服务</w:t>
            </w:r>
          </w:p>
        </w:tc>
        <w:tc>
          <w:tcPr>
            <w:tcW w:w="2338" w:type="dxa"/>
            <w:gridSpan w:val="2"/>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WEB系统和手机APP</w:t>
            </w:r>
          </w:p>
        </w:tc>
        <w:tc>
          <w:tcPr>
            <w:tcW w:w="4575"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运行状态监测、用电曲线和报表查询、告警推送</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2</w:t>
            </w:r>
          </w:p>
        </w:tc>
        <w:tc>
          <w:tcPr>
            <w:tcW w:w="1012" w:type="dxa"/>
            <w:vMerge w:val="restart"/>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值班服务</w:t>
            </w:r>
          </w:p>
        </w:tc>
        <w:tc>
          <w:tcPr>
            <w:tcW w:w="1058" w:type="dxa"/>
            <w:vMerge w:val="restart"/>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7×24小时监控</w:t>
            </w:r>
          </w:p>
        </w:tc>
        <w:tc>
          <w:tcPr>
            <w:tcW w:w="128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告警通知</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站内10kV母线停电时，系统和短信推送用户</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tcMar>
              <w:top w:w="15" w:type="dxa"/>
              <w:left w:w="15" w:type="dxa"/>
              <w:right w:w="15" w:type="dxa"/>
            </w:tcMar>
            <w:vAlign w:val="center"/>
          </w:tcPr>
          <w:p>
            <w:pPr>
              <w:widowControl/>
              <w:jc w:val="center"/>
              <w:rPr>
                <w:rFonts w:ascii="宋体" w:hAnsi="宋体" w:cs="宋体"/>
                <w:kern w:val="0"/>
                <w:szCs w:val="21"/>
              </w:rPr>
            </w:pPr>
          </w:p>
        </w:tc>
        <w:tc>
          <w:tcPr>
            <w:tcW w:w="128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配变停电时，系统和短信推送用户</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tcMar>
              <w:top w:w="15" w:type="dxa"/>
              <w:left w:w="15" w:type="dxa"/>
              <w:right w:w="15" w:type="dxa"/>
            </w:tcMar>
            <w:vAlign w:val="center"/>
          </w:tcPr>
          <w:p>
            <w:pPr>
              <w:widowControl/>
              <w:jc w:val="center"/>
              <w:rPr>
                <w:rFonts w:ascii="宋体" w:hAnsi="宋体" w:cs="宋体"/>
                <w:kern w:val="0"/>
                <w:szCs w:val="21"/>
              </w:rPr>
            </w:pPr>
          </w:p>
        </w:tc>
        <w:tc>
          <w:tcPr>
            <w:tcW w:w="128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400V进线失电时，系统和短信推送用户</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tcMar>
              <w:top w:w="15" w:type="dxa"/>
              <w:left w:w="15" w:type="dxa"/>
              <w:right w:w="15" w:type="dxa"/>
            </w:tcMar>
            <w:vAlign w:val="center"/>
          </w:tcPr>
          <w:p>
            <w:pPr>
              <w:widowControl/>
              <w:jc w:val="center"/>
              <w:rPr>
                <w:rFonts w:ascii="宋体" w:hAnsi="宋体" w:cs="宋体"/>
                <w:kern w:val="0"/>
                <w:szCs w:val="21"/>
              </w:rPr>
            </w:pPr>
          </w:p>
        </w:tc>
        <w:tc>
          <w:tcPr>
            <w:tcW w:w="128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预警通知</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配变400V进线电压、电流越限时，系统推送用户</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tcMar>
              <w:top w:w="15" w:type="dxa"/>
              <w:left w:w="15" w:type="dxa"/>
              <w:right w:w="15" w:type="dxa"/>
            </w:tcMar>
            <w:vAlign w:val="center"/>
          </w:tcPr>
          <w:p>
            <w:pPr>
              <w:widowControl/>
              <w:jc w:val="center"/>
              <w:rPr>
                <w:rFonts w:ascii="宋体" w:hAnsi="宋体" w:cs="宋体"/>
                <w:kern w:val="0"/>
                <w:szCs w:val="21"/>
              </w:rPr>
            </w:pPr>
          </w:p>
        </w:tc>
        <w:tc>
          <w:tcPr>
            <w:tcW w:w="128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10kV进、出线电压、电流越限时，系统推送用户</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3</w:t>
            </w:r>
          </w:p>
        </w:tc>
        <w:tc>
          <w:tcPr>
            <w:tcW w:w="1012" w:type="dxa"/>
            <w:vMerge w:val="restart"/>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运行服务</w:t>
            </w:r>
          </w:p>
        </w:tc>
        <w:tc>
          <w:tcPr>
            <w:tcW w:w="1058"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运行诊断</w:t>
            </w:r>
          </w:p>
        </w:tc>
        <w:tc>
          <w:tcPr>
            <w:tcW w:w="128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在线分析</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400V进线开关跳闸原因分析</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10kV进、出线跳闸原因分析</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运行报表</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运行月报</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每月提供400V进线运行报告1份</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用量报表</w:t>
            </w:r>
          </w:p>
        </w:tc>
        <w:tc>
          <w:tcPr>
            <w:tcW w:w="4575"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每月提供电站总与配变（出线）的用量分析报表1份</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4575"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每月提供每台配变低压进线与出线的用量分析报表1份</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楼层</w:t>
            </w:r>
            <w:r>
              <w:rPr>
                <w:rFonts w:ascii="宋体" w:hAnsi="宋体" w:cs="宋体"/>
                <w:kern w:val="0"/>
                <w:szCs w:val="21"/>
              </w:rPr>
              <w:t>能</w:t>
            </w:r>
            <w:r>
              <w:rPr>
                <w:rFonts w:hint="eastAsia" w:ascii="宋体" w:hAnsi="宋体" w:cs="宋体"/>
                <w:kern w:val="0"/>
                <w:szCs w:val="21"/>
              </w:rPr>
              <w:t>耗</w:t>
            </w:r>
            <w:r>
              <w:rPr>
                <w:rFonts w:ascii="宋体" w:hAnsi="宋体" w:cs="宋体"/>
                <w:kern w:val="0"/>
                <w:szCs w:val="21"/>
              </w:rPr>
              <w:t>报表</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对接现有楼层能耗监测管理系统平台，并</w:t>
            </w:r>
            <w:r>
              <w:rPr>
                <w:rFonts w:ascii="宋体" w:hAnsi="宋体" w:cs="宋体"/>
                <w:kern w:val="0"/>
                <w:szCs w:val="21"/>
              </w:rPr>
              <w:t>每月提供能效报表1份</w:t>
            </w:r>
          </w:p>
        </w:tc>
        <w:tc>
          <w:tcPr>
            <w:tcW w:w="665" w:type="dxa"/>
            <w:noWrap/>
            <w:tcMar>
              <w:top w:w="15" w:type="dxa"/>
              <w:left w:w="15" w:type="dxa"/>
              <w:right w:w="15" w:type="dxa"/>
            </w:tcMar>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资料管理</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图纸管理</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系统上查看一次主接线图</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台账管理</w:t>
            </w:r>
          </w:p>
        </w:tc>
        <w:tc>
          <w:tcPr>
            <w:tcW w:w="4575"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系统上查看变压器、进线开关等主设备的电子台账</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4</w:t>
            </w:r>
          </w:p>
        </w:tc>
        <w:tc>
          <w:tcPr>
            <w:tcW w:w="1012" w:type="dxa"/>
            <w:vMerge w:val="restart"/>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现场服务</w:t>
            </w:r>
          </w:p>
        </w:tc>
        <w:tc>
          <w:tcPr>
            <w:tcW w:w="1058"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故障抢修</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现场操作</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30分钟响应，1小时内现场进行操作</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设备维修</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协调设备厂家现场维修、试验</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restart"/>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巡检服务</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现场巡检</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现场巡视抄表，1次/月</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巡检报告</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巡检报告推送，1份/月</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维保服务</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设备检查</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站内</w:t>
            </w:r>
            <w:r>
              <w:rPr>
                <w:rFonts w:hint="eastAsia" w:ascii="宋体" w:hAnsi="宋体" w:cs="宋体"/>
                <w:kern w:val="0"/>
                <w:szCs w:val="21"/>
              </w:rPr>
              <w:t>设备检查</w:t>
            </w:r>
            <w:r>
              <w:rPr>
                <w:rFonts w:ascii="宋体" w:hAnsi="宋体" w:cs="宋体"/>
                <w:kern w:val="0"/>
                <w:szCs w:val="21"/>
              </w:rPr>
              <w:t>清扫，1次/月</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计划性停电</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现场操作</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按计划到达现场进行操作</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restart"/>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预防性试验</w:t>
            </w: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到期提醒</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试验到期前1个月，主动提醒</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continue"/>
            <w:noWrap/>
            <w:tcMar>
              <w:top w:w="15" w:type="dxa"/>
              <w:left w:w="15" w:type="dxa"/>
              <w:right w:w="15" w:type="dxa"/>
            </w:tcMar>
            <w:vAlign w:val="center"/>
          </w:tcPr>
          <w:p>
            <w:pPr>
              <w:widowControl/>
              <w:jc w:val="center"/>
              <w:rPr>
                <w:rFonts w:ascii="宋体" w:hAnsi="宋体" w:cs="宋体"/>
                <w:kern w:val="0"/>
                <w:szCs w:val="21"/>
              </w:rPr>
            </w:pPr>
          </w:p>
        </w:tc>
        <w:tc>
          <w:tcPr>
            <w:tcW w:w="1012" w:type="dxa"/>
            <w:vMerge w:val="continue"/>
            <w:tcMar>
              <w:top w:w="15" w:type="dxa"/>
              <w:left w:w="15" w:type="dxa"/>
              <w:right w:w="15" w:type="dxa"/>
            </w:tcMar>
            <w:vAlign w:val="center"/>
          </w:tcPr>
          <w:p>
            <w:pPr>
              <w:widowControl/>
              <w:jc w:val="center"/>
              <w:rPr>
                <w:rFonts w:ascii="宋体" w:hAnsi="宋体" w:cs="宋体"/>
                <w:kern w:val="0"/>
                <w:szCs w:val="21"/>
              </w:rPr>
            </w:pPr>
          </w:p>
        </w:tc>
        <w:tc>
          <w:tcPr>
            <w:tcW w:w="1058" w:type="dxa"/>
            <w:vMerge w:val="continue"/>
            <w:tcMar>
              <w:top w:w="15" w:type="dxa"/>
              <w:left w:w="15" w:type="dxa"/>
              <w:right w:w="15" w:type="dxa"/>
            </w:tcMar>
            <w:vAlign w:val="center"/>
          </w:tcPr>
          <w:p>
            <w:pPr>
              <w:widowControl/>
              <w:jc w:val="center"/>
              <w:rPr>
                <w:rFonts w:ascii="宋体" w:hAnsi="宋体" w:cs="宋体"/>
                <w:kern w:val="0"/>
                <w:szCs w:val="21"/>
              </w:rPr>
            </w:pPr>
          </w:p>
        </w:tc>
        <w:tc>
          <w:tcPr>
            <w:tcW w:w="1280"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现场操作</w:t>
            </w:r>
          </w:p>
        </w:tc>
        <w:tc>
          <w:tcPr>
            <w:tcW w:w="457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协调停电计划，现场倒闸操作</w:t>
            </w:r>
          </w:p>
        </w:tc>
        <w:tc>
          <w:tcPr>
            <w:tcW w:w="665" w:type="dxa"/>
            <w:noWrap/>
            <w:tcMar>
              <w:top w:w="15" w:type="dxa"/>
              <w:left w:w="15" w:type="dxa"/>
              <w:right w:w="15" w:type="dxa"/>
            </w:tcMar>
            <w:vAlign w:val="center"/>
          </w:tcPr>
          <w:p>
            <w:pPr>
              <w:widowControl/>
              <w:jc w:val="center"/>
              <w:rPr>
                <w:rFonts w:ascii="宋体" w:hAnsi="宋体" w:cs="宋体"/>
                <w:kern w:val="0"/>
                <w:szCs w:val="21"/>
              </w:rPr>
            </w:pPr>
            <w:r>
              <w:rPr>
                <w:rFonts w:ascii="宋体" w:hAnsi="宋体" w:cs="宋体"/>
                <w:kern w:val="0"/>
                <w:szCs w:val="21"/>
              </w:rPr>
              <w:t>√</w:t>
            </w:r>
          </w:p>
        </w:tc>
      </w:tr>
    </w:tbl>
    <w:p>
      <w:pPr>
        <w:widowControl/>
        <w:spacing w:line="360" w:lineRule="auto"/>
        <w:ind w:firstLine="482" w:firstLineChars="200"/>
        <w:rPr>
          <w:rFonts w:ascii="宋体" w:hAnsi="宋体" w:cs="宋体"/>
          <w:b/>
          <w:bCs/>
          <w:kern w:val="0"/>
          <w:sz w:val="24"/>
          <w:szCs w:val="22"/>
        </w:rPr>
      </w:pPr>
      <w:r>
        <w:rPr>
          <w:rFonts w:hint="eastAsia" w:ascii="宋体" w:hAnsi="宋体" w:cs="宋体"/>
          <w:b/>
          <w:bCs/>
          <w:kern w:val="0"/>
          <w:sz w:val="24"/>
          <w:szCs w:val="22"/>
        </w:rPr>
        <w:t>二、服务期限：</w:t>
      </w:r>
    </w:p>
    <w:p>
      <w:pPr>
        <w:spacing w:line="360" w:lineRule="auto"/>
        <w:ind w:firstLine="480" w:firstLineChars="200"/>
        <w:outlineLvl w:val="1"/>
        <w:rPr>
          <w:rFonts w:ascii="宋体" w:hAnsi="宋体" w:cs="宋体"/>
          <w:kern w:val="0"/>
          <w:sz w:val="24"/>
          <w:szCs w:val="22"/>
        </w:rPr>
      </w:pPr>
      <w:r>
        <w:rPr>
          <w:rFonts w:hint="eastAsia" w:ascii="宋体" w:hAnsi="宋体" w:cs="宋体"/>
          <w:kern w:val="0"/>
          <w:sz w:val="24"/>
          <w:szCs w:val="22"/>
        </w:rPr>
        <w:t>采购期限：</w:t>
      </w:r>
      <w:r>
        <w:rPr>
          <w:rFonts w:hint="eastAsia" w:ascii="宋体" w:hAnsi="宋体" w:cs="宋体"/>
          <w:sz w:val="24"/>
          <w:szCs w:val="22"/>
        </w:rPr>
        <w:t>三年，合同按自然年度签订。首次签订合同时间为2020年6月1日至2020年12月31日。采购期限内，采购人对供应商履约情况按年考核达到优秀的，可续签下一年度合同。合同期内，如发现供应商不能实质性满足采购人要求，采购人有权终止合同。</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三、付款方式：</w:t>
      </w:r>
    </w:p>
    <w:p>
      <w:pPr>
        <w:spacing w:line="360" w:lineRule="auto"/>
        <w:ind w:firstLine="480" w:firstLineChars="200"/>
        <w:outlineLvl w:val="1"/>
        <w:rPr>
          <w:rFonts w:ascii="宋体" w:hAnsi="宋体" w:cs="宋体"/>
          <w:sz w:val="24"/>
          <w:szCs w:val="22"/>
          <w:lang w:val="zh-CN"/>
        </w:rPr>
      </w:pPr>
      <w:r>
        <w:rPr>
          <w:rFonts w:hint="eastAsia" w:ascii="宋体" w:hAnsi="宋体" w:cs="宋体"/>
          <w:sz w:val="24"/>
          <w:szCs w:val="22"/>
          <w:lang w:val="zh-CN"/>
        </w:rPr>
        <w:t>每月结算一次。供应商月末申请付款，经采购人审核通过后，于次月月头</w:t>
      </w:r>
      <w:r>
        <w:rPr>
          <w:rFonts w:hint="eastAsia" w:ascii="宋体" w:hAnsi="宋体" w:cs="宋体"/>
          <w:sz w:val="24"/>
          <w:szCs w:val="22"/>
        </w:rPr>
        <w:t>10个工作日内凭供应商发票支付。</w:t>
      </w:r>
      <w:r>
        <w:rPr>
          <w:rFonts w:hint="eastAsia" w:ascii="宋体" w:hAnsi="宋体" w:cs="宋体"/>
          <w:sz w:val="24"/>
          <w:szCs w:val="22"/>
          <w:lang w:val="zh-CN"/>
        </w:rPr>
        <w:t>合同期内双方若解除合同，采购人依据实际维保时间和已完成的维保内容酌情支付维保费</w:t>
      </w:r>
      <w:r>
        <w:rPr>
          <w:rFonts w:hint="eastAsia" w:ascii="宋体" w:hAnsi="宋体" w:cs="宋体"/>
          <w:sz w:val="24"/>
          <w:szCs w:val="22"/>
        </w:rPr>
        <w:t>。</w:t>
      </w:r>
    </w:p>
    <w:p>
      <w:pPr>
        <w:widowControl/>
        <w:spacing w:line="360" w:lineRule="auto"/>
        <w:ind w:firstLine="480" w:firstLineChars="200"/>
        <w:rPr>
          <w:rFonts w:ascii="宋体" w:hAnsi="宋体" w:cs="宋体"/>
          <w:kern w:val="0"/>
          <w:sz w:val="24"/>
          <w:szCs w:val="22"/>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一、采购人委托招标代理机构组织开标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1、成立询价小组，由采购人代表和有关专家依法组成。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1、代理机构主持开标并记录，及时处理投标供应商代表提出的询问或者回避申请。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及其委托的采购代理机构依据中华人民共和国财政部令第87号《政府采购货物和服务招标投标管理办法》文件第四十四条的规定，根据招标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招标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1、未按照招标文件的规定提交投标保证金的；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2、投标文件未按招标文件要求签署、盖章的；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3、不具备招标文件中规定的资格要求的；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4、报价超过招标文件中规定的预算金额或者最高限价的；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5、询价响应文件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7、法律、法规和招标文件规定的其他无效情形。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rPr>
      </w:pPr>
      <w:r>
        <w:rPr>
          <w:rFonts w:hint="eastAsia" w:ascii="宋体" w:hAnsi="宋体" w:cs="宋体"/>
          <w:sz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spacing w:line="360" w:lineRule="auto"/>
        <w:ind w:firstLine="480" w:firstLineChars="200"/>
        <w:rPr>
          <w:rFonts w:ascii="宋体" w:hAnsi="宋体" w:cs="宋体"/>
          <w:sz w:val="24"/>
        </w:rPr>
      </w:pPr>
      <w:r>
        <w:rPr>
          <w:rFonts w:hint="eastAsia" w:ascii="宋体" w:hAnsi="宋体" w:cs="宋体"/>
          <w:sz w:val="24"/>
        </w:rPr>
        <w:t>1、出现影响采购公正的违法违规行为的；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spacing w:line="360" w:lineRule="auto"/>
        <w:ind w:firstLine="480" w:firstLineChars="200"/>
        <w:rPr>
          <w:rFonts w:ascii="宋体" w:hAnsi="宋体" w:cs="宋体"/>
          <w:sz w:val="24"/>
        </w:rPr>
      </w:pPr>
      <w:r>
        <w:rPr>
          <w:rFonts w:hint="eastAsia" w:ascii="宋体" w:hAnsi="宋体" w:cs="宋体"/>
          <w:sz w:val="24"/>
        </w:rPr>
        <w:t>3、因重大变故，采购任务被取消的；</w:t>
      </w:r>
    </w:p>
    <w:p>
      <w:pPr>
        <w:snapToGrid w:val="0"/>
        <w:spacing w:line="360" w:lineRule="auto"/>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b/>
          <w:bCs/>
          <w:kern w:val="0"/>
          <w:sz w:val="24"/>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snapToGrid w:val="0"/>
        <w:spacing w:line="520" w:lineRule="exact"/>
        <w:ind w:firstLine="2160" w:firstLineChars="600"/>
        <w:rPr>
          <w:rFonts w:ascii="宋体" w:hAnsi="宋体" w:cs="宋体"/>
          <w:sz w:val="36"/>
          <w:szCs w:val="36"/>
        </w:r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r>
        <w:rPr>
          <w:rFonts w:hint="eastAsia" w:ascii="宋体" w:hAnsi="宋体" w:eastAsia="宋体" w:cs="宋体"/>
          <w:w w:val="80"/>
          <w:szCs w:val="4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adjustRightInd w:val="0"/>
        <w:snapToGrid w:val="0"/>
        <w:spacing w:line="360" w:lineRule="auto"/>
        <w:ind w:firstLine="562" w:firstLineChars="200"/>
        <w:jc w:val="center"/>
        <w:rPr>
          <w:rFonts w:ascii="宋体" w:hAnsi="宋体" w:cs="宋体"/>
          <w:b/>
          <w:bCs/>
          <w:sz w:val="28"/>
          <w:szCs w:val="28"/>
        </w:rPr>
      </w:pPr>
      <w:r>
        <w:rPr>
          <w:rFonts w:hint="eastAsia" w:ascii="宋体" w:hAnsi="宋体" w:cs="宋体"/>
          <w:b/>
          <w:bCs/>
          <w:sz w:val="28"/>
          <w:szCs w:val="28"/>
        </w:rPr>
        <w:t>变电站委托管理服务协议书</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甲方（委托方）：</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乙方（受托方）：</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依照《中华人民共和国合同法》及其他有关法律、行政法规，甲、乙双方遵循平等、自愿、公平和诚实信用的原则，就甲方聘请乙方承担南通中学附属实验学校变电所10KV变电站的线上监控、线下运维托管服务相关事宜，协商一致，订立本合同。</w:t>
      </w:r>
    </w:p>
    <w:p>
      <w:pPr>
        <w:adjustRightInd w:val="0"/>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一、客户基本信息</w:t>
      </w:r>
    </w:p>
    <w:tbl>
      <w:tblPr>
        <w:tblStyle w:val="11"/>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252"/>
        <w:gridCol w:w="198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9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户名</w:t>
            </w:r>
          </w:p>
        </w:tc>
        <w:tc>
          <w:tcPr>
            <w:tcW w:w="425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南通中学附属实验学校</w:t>
            </w:r>
          </w:p>
        </w:tc>
        <w:tc>
          <w:tcPr>
            <w:tcW w:w="198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户号</w:t>
            </w:r>
          </w:p>
        </w:tc>
        <w:tc>
          <w:tcPr>
            <w:tcW w:w="2268" w:type="dxa"/>
            <w:vAlign w:val="center"/>
          </w:tcPr>
          <w:p>
            <w:pPr>
              <w:adjustRightInd w:val="0"/>
              <w:snapToGrid w:val="0"/>
              <w:spacing w:line="360" w:lineRule="auto"/>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9"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地址</w:t>
            </w:r>
          </w:p>
        </w:tc>
        <w:tc>
          <w:tcPr>
            <w:tcW w:w="425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南通市中创区居康路、兴富路以西</w:t>
            </w:r>
          </w:p>
        </w:tc>
        <w:tc>
          <w:tcPr>
            <w:tcW w:w="198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电压等级/容量</w:t>
            </w:r>
          </w:p>
        </w:tc>
        <w:tc>
          <w:tcPr>
            <w:tcW w:w="226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10KV/3600KVA</w:t>
            </w:r>
          </w:p>
        </w:tc>
      </w:tr>
    </w:tbl>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托管运维范围及主要设备</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甲方公司10KV变电所变配电设备，主要包括有：变电所10KV高压设备（含低总开关），直流控制系统一套。</w:t>
      </w:r>
    </w:p>
    <w:p>
      <w:pPr>
        <w:adjustRightInd w:val="0"/>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二、具体服务内容</w:t>
      </w:r>
    </w:p>
    <w:tbl>
      <w:tblPr>
        <w:tblStyle w:val="11"/>
        <w:tblW w:w="9500" w:type="dxa"/>
        <w:jc w:val="center"/>
        <w:tblLayout w:type="fixed"/>
        <w:tblCellMar>
          <w:top w:w="0" w:type="dxa"/>
          <w:left w:w="0" w:type="dxa"/>
          <w:bottom w:w="0" w:type="dxa"/>
          <w:right w:w="0" w:type="dxa"/>
        </w:tblCellMar>
      </w:tblPr>
      <w:tblGrid>
        <w:gridCol w:w="501"/>
        <w:gridCol w:w="1126"/>
        <w:gridCol w:w="1314"/>
        <w:gridCol w:w="1530"/>
        <w:gridCol w:w="4436"/>
        <w:gridCol w:w="593"/>
      </w:tblGrid>
      <w:tr>
        <w:tblPrEx>
          <w:tblCellMar>
            <w:top w:w="0" w:type="dxa"/>
            <w:left w:w="0" w:type="dxa"/>
            <w:bottom w:w="0" w:type="dxa"/>
            <w:right w:w="0" w:type="dxa"/>
          </w:tblCellMar>
        </w:tblPrEx>
        <w:trPr>
          <w:trHeight w:val="397" w:hRule="atLeast"/>
          <w:jc w:val="center"/>
        </w:trPr>
        <w:tc>
          <w:tcPr>
            <w:tcW w:w="950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b/>
                <w:bCs/>
                <w:sz w:val="24"/>
                <w:szCs w:val="24"/>
              </w:rPr>
            </w:pPr>
            <w:r>
              <w:rPr>
                <w:rFonts w:ascii="宋体" w:hAnsi="宋体" w:cs="宋体"/>
                <w:b/>
                <w:bCs/>
                <w:sz w:val="24"/>
                <w:szCs w:val="24"/>
              </w:rPr>
              <w:t>变电站智能运维 服务内容</w:t>
            </w:r>
          </w:p>
        </w:tc>
      </w:tr>
      <w:tr>
        <w:tblPrEx>
          <w:tblCellMar>
            <w:top w:w="0" w:type="dxa"/>
            <w:left w:w="0" w:type="dxa"/>
            <w:bottom w:w="0" w:type="dxa"/>
            <w:right w:w="0" w:type="dxa"/>
          </w:tblCellMar>
        </w:tblPrEx>
        <w:trPr>
          <w:trHeight w:val="397"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b/>
                <w:bCs/>
                <w:sz w:val="24"/>
                <w:szCs w:val="24"/>
              </w:rPr>
            </w:pPr>
            <w:r>
              <w:rPr>
                <w:rFonts w:ascii="宋体" w:hAnsi="宋体" w:cs="宋体"/>
                <w:b/>
                <w:bCs/>
                <w:sz w:val="24"/>
                <w:szCs w:val="24"/>
              </w:rPr>
              <w:t>序号</w:t>
            </w:r>
          </w:p>
        </w:tc>
        <w:tc>
          <w:tcPr>
            <w:tcW w:w="11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b/>
                <w:bCs/>
                <w:sz w:val="24"/>
                <w:szCs w:val="24"/>
              </w:rPr>
            </w:pPr>
            <w:r>
              <w:rPr>
                <w:rFonts w:ascii="宋体" w:hAnsi="宋体" w:cs="宋体"/>
                <w:b/>
                <w:bCs/>
                <w:sz w:val="24"/>
                <w:szCs w:val="24"/>
              </w:rPr>
              <w:t>分类1</w:t>
            </w:r>
          </w:p>
        </w:tc>
        <w:tc>
          <w:tcPr>
            <w:tcW w:w="2844"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b/>
                <w:bCs/>
                <w:sz w:val="24"/>
                <w:szCs w:val="24"/>
              </w:rPr>
            </w:pPr>
            <w:r>
              <w:rPr>
                <w:rFonts w:ascii="宋体" w:hAnsi="宋体" w:cs="宋体"/>
                <w:b/>
                <w:bCs/>
                <w:sz w:val="24"/>
                <w:szCs w:val="24"/>
              </w:rPr>
              <w:t>分类2</w:t>
            </w:r>
          </w:p>
        </w:tc>
        <w:tc>
          <w:tcPr>
            <w:tcW w:w="44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b/>
                <w:bCs/>
                <w:sz w:val="24"/>
                <w:szCs w:val="24"/>
              </w:rPr>
            </w:pPr>
            <w:r>
              <w:rPr>
                <w:rFonts w:ascii="宋体" w:hAnsi="宋体" w:cs="宋体"/>
                <w:b/>
                <w:bCs/>
                <w:sz w:val="24"/>
                <w:szCs w:val="24"/>
              </w:rPr>
              <w:t>内容描述</w:t>
            </w:r>
          </w:p>
        </w:tc>
        <w:tc>
          <w:tcPr>
            <w:tcW w:w="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b/>
                <w:bCs/>
                <w:sz w:val="24"/>
                <w:szCs w:val="24"/>
              </w:rPr>
            </w:pPr>
            <w:r>
              <w:rPr>
                <w:rFonts w:ascii="宋体" w:hAnsi="宋体" w:cs="宋体"/>
                <w:b/>
                <w:bCs/>
                <w:sz w:val="24"/>
                <w:szCs w:val="24"/>
              </w:rPr>
              <w:t>选项</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2844"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2844"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r>
      <w:tr>
        <w:tblPrEx>
          <w:tblCellMar>
            <w:top w:w="0" w:type="dxa"/>
            <w:left w:w="0" w:type="dxa"/>
            <w:bottom w:w="0" w:type="dxa"/>
            <w:right w:w="0" w:type="dxa"/>
          </w:tblCellMar>
        </w:tblPrEx>
        <w:trPr>
          <w:trHeight w:val="397" w:hRule="atLeast"/>
          <w:jc w:val="center"/>
        </w:trPr>
        <w:tc>
          <w:tcPr>
            <w:tcW w:w="50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1</w:t>
            </w:r>
          </w:p>
        </w:tc>
        <w:tc>
          <w:tcPr>
            <w:tcW w:w="112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信息服务</w:t>
            </w:r>
          </w:p>
        </w:tc>
        <w:tc>
          <w:tcPr>
            <w:tcW w:w="28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WEB系统和手机APP</w:t>
            </w:r>
          </w:p>
        </w:tc>
        <w:tc>
          <w:tcPr>
            <w:tcW w:w="4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运行状态监测、用电曲线和报表查询、告警推送</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2</w:t>
            </w:r>
          </w:p>
        </w:tc>
        <w:tc>
          <w:tcPr>
            <w:tcW w:w="112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值班服务</w:t>
            </w:r>
          </w:p>
        </w:tc>
        <w:tc>
          <w:tcPr>
            <w:tcW w:w="1314"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7×24小时监控</w:t>
            </w:r>
          </w:p>
        </w:tc>
        <w:tc>
          <w:tcPr>
            <w:tcW w:w="1530"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告警通知</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站内10kV母线停电时，系统和短信推送用户</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配变停电时，系统和短信推送用户</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400V进线失电时，系统和短信推送用户</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预警通知</w:t>
            </w:r>
          </w:p>
        </w:tc>
        <w:tc>
          <w:tcPr>
            <w:tcW w:w="4436" w:type="dxa"/>
            <w:tcBorders>
              <w:top w:val="single" w:color="000000" w:sz="4" w:space="0"/>
              <w:left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配变400V进线电压、电流越限时，系统推送用户</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10kV进、出线电压、电流越限时，系统推送用户</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3</w:t>
            </w:r>
          </w:p>
        </w:tc>
        <w:tc>
          <w:tcPr>
            <w:tcW w:w="11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运行服务</w:t>
            </w:r>
          </w:p>
        </w:tc>
        <w:tc>
          <w:tcPr>
            <w:tcW w:w="13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运行诊断</w:t>
            </w:r>
          </w:p>
        </w:tc>
        <w:tc>
          <w:tcPr>
            <w:tcW w:w="15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在线分析</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400V进线开关跳闸原因分析</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10kV进、出线跳闸原因分析</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运行报表</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运行月报</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每月提供400V进线运行报告1份</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用量报表</w:t>
            </w:r>
          </w:p>
        </w:tc>
        <w:tc>
          <w:tcPr>
            <w:tcW w:w="4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每月提供电站总与配变（出线）的用量分析报表1份</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4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每月提供每台配变低压进线与出线的用量分析报表1份</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hint="eastAsia" w:ascii="宋体" w:hAnsi="宋体" w:cs="宋体"/>
                <w:szCs w:val="21"/>
              </w:rPr>
              <w:t>楼层</w:t>
            </w:r>
            <w:r>
              <w:rPr>
                <w:rFonts w:ascii="宋体" w:hAnsi="宋体" w:cs="宋体"/>
                <w:szCs w:val="21"/>
              </w:rPr>
              <w:t>能</w:t>
            </w:r>
            <w:r>
              <w:rPr>
                <w:rFonts w:hint="eastAsia" w:ascii="宋体" w:hAnsi="宋体" w:cs="宋体"/>
                <w:szCs w:val="21"/>
              </w:rPr>
              <w:t>耗</w:t>
            </w:r>
            <w:r>
              <w:rPr>
                <w:rFonts w:ascii="宋体" w:hAnsi="宋体" w:cs="宋体"/>
                <w:szCs w:val="21"/>
              </w:rPr>
              <w:t>报表</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hint="eastAsia" w:ascii="宋体" w:hAnsi="宋体" w:cs="宋体"/>
                <w:szCs w:val="21"/>
              </w:rPr>
              <w:t>对接现有楼层能耗监测管理系统平台，并</w:t>
            </w:r>
            <w:r>
              <w:rPr>
                <w:rFonts w:ascii="宋体" w:hAnsi="宋体" w:cs="宋体"/>
                <w:szCs w:val="21"/>
              </w:rPr>
              <w:t>提供能效报表1份</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资料管理</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图纸管理</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系统上查看一次主接线图</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tcBorders>
              <w:top w:val="nil"/>
              <w:left w:val="nil"/>
              <w:bottom w:val="nil"/>
              <w:right w:val="nil"/>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台账管理</w:t>
            </w:r>
          </w:p>
        </w:tc>
        <w:tc>
          <w:tcPr>
            <w:tcW w:w="4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系统上查看变压器、进线开关等主设备的电子台账</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restar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4</w:t>
            </w:r>
          </w:p>
        </w:tc>
        <w:tc>
          <w:tcPr>
            <w:tcW w:w="1126" w:type="dxa"/>
            <w:vMerge w:val="restart"/>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现场服务</w:t>
            </w:r>
          </w:p>
        </w:tc>
        <w:tc>
          <w:tcPr>
            <w:tcW w:w="1314"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故障抢修</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现场操作</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30分钟响应，1小时内现场进行操作</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设备维修</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协调设备厂家现场维修、试验</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巡检服务</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现场巡检</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现场巡视抄表，1次/月</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巡检报告</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巡检报告推送，1份/月</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维保服务</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hint="eastAsia" w:ascii="宋体" w:hAnsi="宋体" w:cs="宋体"/>
                <w:szCs w:val="21"/>
              </w:rPr>
              <w:t>设备检查</w:t>
            </w:r>
            <w:r>
              <w:rPr>
                <w:rFonts w:ascii="宋体" w:hAnsi="宋体" w:cs="宋体"/>
                <w:szCs w:val="21"/>
              </w:rPr>
              <w:t>清洁</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站内</w:t>
            </w:r>
            <w:r>
              <w:rPr>
                <w:rFonts w:hint="eastAsia" w:ascii="宋体" w:hAnsi="宋体" w:cs="宋体"/>
                <w:szCs w:val="21"/>
              </w:rPr>
              <w:t>设备检查</w:t>
            </w:r>
            <w:r>
              <w:rPr>
                <w:rFonts w:ascii="宋体" w:hAnsi="宋体" w:cs="宋体"/>
                <w:szCs w:val="21"/>
              </w:rPr>
              <w:t>清扫，1次/月</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计划性停电</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现场操作</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按计划到达现场进行操作</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预防性试验</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到期提醒</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试验到期前1个月，主动提醒</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r>
        <w:tblPrEx>
          <w:tblCellMar>
            <w:top w:w="0" w:type="dxa"/>
            <w:left w:w="0" w:type="dxa"/>
            <w:bottom w:w="0" w:type="dxa"/>
            <w:right w:w="0" w:type="dxa"/>
          </w:tblCellMar>
        </w:tblPrEx>
        <w:trPr>
          <w:trHeight w:val="397" w:hRule="atLeast"/>
          <w:jc w:val="center"/>
        </w:trPr>
        <w:tc>
          <w:tcPr>
            <w:tcW w:w="5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p>
        </w:tc>
        <w:tc>
          <w:tcPr>
            <w:tcW w:w="1126"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314"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现场操作</w:t>
            </w:r>
          </w:p>
        </w:tc>
        <w:tc>
          <w:tcPr>
            <w:tcW w:w="4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协调停电计划，现场倒闸操作</w:t>
            </w:r>
          </w:p>
        </w:tc>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szCs w:val="21"/>
              </w:rPr>
            </w:pPr>
            <w:r>
              <w:rPr>
                <w:rFonts w:ascii="宋体" w:hAnsi="宋体" w:cs="宋体"/>
                <w:szCs w:val="21"/>
              </w:rPr>
              <w:t>√</w:t>
            </w:r>
          </w:p>
        </w:tc>
      </w:tr>
    </w:tbl>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1、负责变配电室相关工作（高压进户电缆至变压器的低压开关柜的开关进线桩头），配电室须全天24小时远程监控，发现异常情况及时派人处理，有重大突发事件及时向业主汇报。</w:t>
      </w:r>
      <w:bookmarkStart w:id="4" w:name="bookmark5"/>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2</w:t>
      </w:r>
      <w:bookmarkEnd w:id="4"/>
      <w:r>
        <w:rPr>
          <w:rFonts w:hint="eastAsia" w:ascii="宋体" w:hAnsi="宋体" w:cs="宋体"/>
          <w:sz w:val="24"/>
          <w:szCs w:val="22"/>
        </w:rPr>
        <w:t>、能满足供电公司的相关要求，负责托管范围内的设备的所有操作，以及相关运行管理。</w:t>
      </w:r>
    </w:p>
    <w:p>
      <w:pPr>
        <w:adjustRightInd w:val="0"/>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三、采购期限</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叁年（ 2020年6月1日至2022年12月31日），合同按自然年度一年一签。</w:t>
      </w:r>
    </w:p>
    <w:p>
      <w:pPr>
        <w:adjustRightInd w:val="0"/>
        <w:snapToGrid w:val="0"/>
        <w:spacing w:line="360" w:lineRule="auto"/>
        <w:ind w:firstLine="480" w:firstLineChars="200"/>
        <w:rPr>
          <w:rFonts w:ascii="宋体" w:hAnsi="宋体" w:cs="宋体"/>
          <w:sz w:val="24"/>
          <w:szCs w:val="22"/>
        </w:rPr>
      </w:pPr>
      <w:r>
        <w:rPr>
          <w:rFonts w:hint="eastAsia" w:ascii="宋体" w:hAnsi="宋体" w:cs="宋体"/>
          <w:kern w:val="0"/>
          <w:sz w:val="24"/>
          <w:szCs w:val="22"/>
        </w:rPr>
        <w:t>采购期限内，</w:t>
      </w:r>
      <w:r>
        <w:rPr>
          <w:rFonts w:hint="eastAsia" w:ascii="宋体" w:hAnsi="宋体" w:cs="宋体"/>
          <w:sz w:val="24"/>
          <w:szCs w:val="22"/>
        </w:rPr>
        <w:t>合同到期后，</w:t>
      </w:r>
      <w:r>
        <w:rPr>
          <w:rFonts w:hint="eastAsia" w:ascii="宋体" w:hAnsi="宋体" w:cs="宋体"/>
          <w:kern w:val="0"/>
          <w:sz w:val="24"/>
          <w:szCs w:val="22"/>
        </w:rPr>
        <w:t>采购人对供应商履约情况考核优秀的，可续签下一年度合同。</w:t>
      </w:r>
    </w:p>
    <w:p>
      <w:pPr>
        <w:adjustRightInd w:val="0"/>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四、支付方式</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lang w:val="zh-CN"/>
        </w:rPr>
        <w:t>每月结算一次。供应商月末申请付款，经采购人审核通过后，于次月月头</w:t>
      </w:r>
      <w:r>
        <w:rPr>
          <w:rFonts w:hint="eastAsia" w:ascii="宋体" w:hAnsi="宋体" w:cs="宋体"/>
          <w:sz w:val="24"/>
          <w:szCs w:val="22"/>
        </w:rPr>
        <w:t>10个工作日内凭供应商发票支付。</w:t>
      </w:r>
      <w:r>
        <w:rPr>
          <w:rFonts w:hint="eastAsia" w:ascii="宋体" w:hAnsi="宋体" w:cs="宋体"/>
          <w:sz w:val="24"/>
          <w:szCs w:val="22"/>
          <w:lang w:val="zh-CN"/>
        </w:rPr>
        <w:t>合同期内双方若解除合同，采购人依据实际维保时间和已完成的维保内容酌情支付维保费</w:t>
      </w:r>
      <w:r>
        <w:rPr>
          <w:rFonts w:hint="eastAsia" w:ascii="宋体" w:hAnsi="宋体" w:cs="宋体"/>
          <w:sz w:val="24"/>
          <w:szCs w:val="22"/>
        </w:rPr>
        <w:t>。</w:t>
      </w:r>
    </w:p>
    <w:p>
      <w:pPr>
        <w:adjustRightInd w:val="0"/>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五、甲方责任</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1、根据乙方提出的配电房管理规范和安全整改意见对配电房进行管理和整改。</w:t>
      </w:r>
    </w:p>
    <w:p>
      <w:pPr>
        <w:adjustRightInd w:val="0"/>
        <w:snapToGri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2、甲方应委派一名代表履行甲方在本合同项下的义务，并享有甲方在本合同项下的权利。乙方需派驻一名项目师作为现场联络人负责与甲方相关部门的沟通协调。</w:t>
      </w:r>
    </w:p>
    <w:p>
      <w:pPr>
        <w:adjustRightInd w:val="0"/>
        <w:snapToGrid w:val="0"/>
        <w:spacing w:line="360" w:lineRule="auto"/>
        <w:ind w:firstLine="480" w:firstLineChars="200"/>
        <w:rPr>
          <w:rFonts w:ascii="宋体" w:hAnsi="宋体" w:cs="宋体"/>
          <w:sz w:val="24"/>
          <w:szCs w:val="22"/>
          <w:lang w:val="zh-CN"/>
        </w:rPr>
      </w:pPr>
      <w:r>
        <w:rPr>
          <w:rFonts w:hint="eastAsia" w:ascii="宋体" w:hAnsi="宋体" w:cs="宋体"/>
          <w:sz w:val="24"/>
          <w:szCs w:val="22"/>
        </w:rPr>
        <w:t>3、</w:t>
      </w:r>
      <w:r>
        <w:rPr>
          <w:rFonts w:hint="eastAsia" w:ascii="宋体" w:hAnsi="宋体" w:cs="宋体"/>
          <w:sz w:val="24"/>
          <w:szCs w:val="22"/>
          <w:lang w:val="zh-CN"/>
        </w:rPr>
        <w:t>甲方应按合同规定向乙方提交技术资料，甲方应对其提供的资料的完整性、准确性及时限负责。</w:t>
      </w:r>
    </w:p>
    <w:p>
      <w:pPr>
        <w:adjustRightInd w:val="0"/>
        <w:snapToGrid w:val="0"/>
        <w:spacing w:line="360" w:lineRule="auto"/>
        <w:ind w:firstLine="480" w:firstLineChars="200"/>
        <w:rPr>
          <w:rFonts w:ascii="宋体" w:hAnsi="宋体" w:cs="宋体"/>
          <w:sz w:val="24"/>
          <w:szCs w:val="22"/>
          <w:lang w:val="zh-CN"/>
        </w:rPr>
      </w:pPr>
      <w:r>
        <w:rPr>
          <w:rFonts w:hint="eastAsia" w:ascii="宋体" w:hAnsi="宋体" w:cs="宋体"/>
          <w:sz w:val="24"/>
          <w:szCs w:val="22"/>
        </w:rPr>
        <w:t>4、</w:t>
      </w:r>
      <w:r>
        <w:rPr>
          <w:rFonts w:hint="eastAsia" w:ascii="宋体" w:hAnsi="宋体" w:cs="宋体"/>
          <w:sz w:val="24"/>
          <w:szCs w:val="22"/>
          <w:lang w:val="zh-CN"/>
        </w:rPr>
        <w:t>甲方应按本合同规定及时、足额向乙方支付合同项下的应付款项。</w:t>
      </w:r>
    </w:p>
    <w:p>
      <w:pPr>
        <w:adjustRightInd w:val="0"/>
        <w:snapToGrid w:val="0"/>
        <w:spacing w:line="360" w:lineRule="auto"/>
        <w:ind w:firstLine="480" w:firstLineChars="200"/>
        <w:rPr>
          <w:rFonts w:ascii="宋体" w:hAnsi="宋体" w:cs="宋体"/>
          <w:sz w:val="24"/>
          <w:szCs w:val="22"/>
          <w:lang w:val="zh-CN"/>
        </w:rPr>
      </w:pPr>
      <w:r>
        <w:rPr>
          <w:rFonts w:hint="eastAsia" w:ascii="宋体" w:hAnsi="宋体" w:cs="宋体"/>
          <w:sz w:val="24"/>
          <w:szCs w:val="22"/>
        </w:rPr>
        <w:t>5、</w:t>
      </w:r>
      <w:r>
        <w:rPr>
          <w:rFonts w:hint="eastAsia" w:ascii="宋体" w:hAnsi="宋体" w:cs="宋体"/>
          <w:sz w:val="24"/>
          <w:szCs w:val="22"/>
          <w:lang w:val="zh-CN"/>
        </w:rPr>
        <w:t>甲方不得要求乙方违反国家或行业有关强制性标准提供服务。</w:t>
      </w:r>
    </w:p>
    <w:p>
      <w:pPr>
        <w:adjustRightInd w:val="0"/>
        <w:snapToGrid w:val="0"/>
        <w:spacing w:line="360" w:lineRule="auto"/>
        <w:ind w:firstLine="480" w:firstLineChars="200"/>
        <w:rPr>
          <w:rFonts w:ascii="宋体" w:hAnsi="宋体" w:cs="宋体"/>
          <w:bCs/>
          <w:sz w:val="28"/>
          <w:szCs w:val="28"/>
          <w:lang w:val="zh-CN"/>
        </w:rPr>
      </w:pPr>
      <w:r>
        <w:rPr>
          <w:rFonts w:hint="eastAsia" w:ascii="宋体" w:hAnsi="宋体" w:cs="宋体"/>
          <w:sz w:val="24"/>
          <w:szCs w:val="22"/>
        </w:rPr>
        <w:t>6、</w:t>
      </w:r>
      <w:r>
        <w:rPr>
          <w:rFonts w:hint="eastAsia" w:ascii="宋体" w:hAnsi="宋体" w:cs="宋体"/>
          <w:sz w:val="24"/>
          <w:szCs w:val="22"/>
          <w:lang w:val="zh-CN"/>
        </w:rPr>
        <w:t>甲方不承担维保过程中发生的任何由乙方操作引起的安全责任。</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六、乙方责任</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1、负责接入智能变配电运维管理平台的运行维护和系统的免费升级，接入智能变配电运维管理平台所装设备产权归乙方所有，如双方协议到期后甲方不再续签，乙方将所装设备拆除带走。</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2、乙方的托管运维服务应满足供电公司的相关规范要求，否则由此产生的责任由乙方承担。</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3、因乙方管理不当而造成的甲方损失，由乙方负责赔偿。但该损失如果是因为甲方未按照乙方提出的配电房管理规范执行或未及时对乙方发现的安全隐患进行整改而导致，则乙方免除赔偿责任。</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七、甲乙双方坚持“安全第一、预防为主”的方针，在改造、抢修、预试等工作中，必须以安全生产为第一要务，密切配合，精心组织。</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八、争议解决</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双方在本合同履行中发生的任何争议，应尽可能先协商解决。如协商不成，双方同意将争议提交南通仲裁委员会进行仲裁。</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九、本协议一式两份，经双方签字盖章后生效，双方各执一份。</w:t>
      </w: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（以下无正文）</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 xml:space="preserve">甲方：（盖章）            </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 xml:space="preserve">甲方代表：                   </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日期：        年    月    日</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乙方：（盖章）</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 xml:space="preserve">乙方代表：                   </w:t>
      </w:r>
    </w:p>
    <w:p>
      <w:pPr>
        <w:adjustRightInd w:val="0"/>
        <w:snapToGrid w:val="0"/>
        <w:spacing w:line="360" w:lineRule="auto"/>
        <w:ind w:firstLine="480" w:firstLineChars="200"/>
        <w:rPr>
          <w:rFonts w:ascii="宋体" w:hAnsi="宋体" w:cs="宋体"/>
          <w:sz w:val="24"/>
          <w:szCs w:val="22"/>
        </w:rPr>
      </w:pPr>
    </w:p>
    <w:p>
      <w:pPr>
        <w:adjustRightInd w:val="0"/>
        <w:snapToGrid w:val="0"/>
        <w:spacing w:line="360" w:lineRule="auto"/>
        <w:ind w:firstLine="480" w:firstLineChars="200"/>
        <w:rPr>
          <w:rFonts w:ascii="宋体" w:hAnsi="宋体" w:cs="宋体"/>
          <w:sz w:val="24"/>
          <w:szCs w:val="22"/>
        </w:rPr>
      </w:pPr>
      <w:r>
        <w:rPr>
          <w:rFonts w:hint="eastAsia" w:ascii="宋体" w:hAnsi="宋体" w:cs="宋体"/>
          <w:sz w:val="24"/>
          <w:szCs w:val="22"/>
        </w:rPr>
        <w:t>日期：        年    月    日</w:t>
      </w: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1、质疑人必须是直接参加本次询价活动的当事人。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1、《质疑函》须由质疑人的法定代表人或参加本次询价授权人送达采购单位。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第七章  询价响应文件格式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为我公司代理人，以本公司的名义参加本项目的询价响应活动。代理人在开标、评标、合同谈判过程中所签署的一切文件和处理与之有关的一切事务，我均予以承认。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一、为了保证江苏省南通中学附属实验学校项目采购活动的公平竞争，促进廉政建设，我公司承诺在参加采购活动时做到遵守法纪、法规和廉政建设各项规定，诚实守信，坚决拒绝商业贿赂，本公司承诺做到：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2.不与招标人串通投标，损害国家利益、社会公共利益或他人的合法权益；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5.保证不以其他任何方式扰乱贵单位的招标工作。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江苏省南通中学附属实验学校：</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（投标单位名称）</w:t>
      </w:r>
      <w:r>
        <w:rPr>
          <w:rFonts w:hint="eastAsia" w:ascii="宋体" w:hAnsi="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(项目名称）</w:t>
      </w:r>
      <w:r>
        <w:rPr>
          <w:rFonts w:hint="eastAsia" w:ascii="宋体" w:hAnsi="宋体" w:cs="宋体"/>
          <w:sz w:val="24"/>
          <w:szCs w:val="22"/>
        </w:rPr>
        <w:t>，我单位</w:t>
      </w:r>
      <w:r>
        <w:rPr>
          <w:rFonts w:hint="eastAsia" w:ascii="宋体" w:hAnsi="宋体" w:cs="宋体"/>
          <w:sz w:val="24"/>
          <w:szCs w:val="22"/>
          <w:u w:val="single"/>
        </w:rPr>
        <w:t xml:space="preserve">       (在下划线上如实填写：有或没有）</w:t>
      </w:r>
      <w:r>
        <w:rPr>
          <w:rFonts w:hint="eastAsia" w:ascii="宋体" w:hAnsi="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日期：  年  月  日</w:t>
      </w:r>
    </w:p>
    <w:p>
      <w:pPr>
        <w:spacing w:line="360" w:lineRule="auto"/>
        <w:rPr>
          <w:rFonts w:ascii="宋体" w:hAnsi="宋体" w:cs="宋体"/>
          <w:sz w:val="28"/>
          <w:szCs w:val="28"/>
          <w:lang w:val="zh-CN"/>
        </w:rPr>
      </w:pP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江苏省南通中学附属实验学校：</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（供应商名称）</w:t>
      </w:r>
      <w:r>
        <w:rPr>
          <w:rFonts w:hint="eastAsia" w:ascii="宋体" w:hAnsi="宋体" w:cs="宋体"/>
          <w:sz w:val="24"/>
          <w:szCs w:val="22"/>
        </w:rPr>
        <w:t>郑重声明：</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参加政府采购活动前3年内在经营活动中</w:t>
      </w:r>
      <w:r>
        <w:rPr>
          <w:rFonts w:hint="eastAsia" w:ascii="宋体" w:hAnsi="宋体" w:cs="宋体"/>
          <w:sz w:val="24"/>
          <w:szCs w:val="22"/>
          <w:u w:val="single"/>
        </w:rPr>
        <w:t xml:space="preserve">        （在下划线上如实填写：有或没有）</w:t>
      </w:r>
      <w:r>
        <w:rPr>
          <w:rFonts w:hint="eastAsia" w:ascii="宋体" w:hAnsi="宋体" w:cs="宋体"/>
          <w:sz w:val="24"/>
          <w:szCs w:val="22"/>
        </w:rPr>
        <w:t>重大违法记录。</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（说明：政府采购法第二十二条第一款第五项所称重大违法记录，是指供应商因违法经营受到刑事处罚或者责令停产停业、吊销许可证或者执照、较大数额罚款等行政处罚。）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overflowPunct w:val="0"/>
        <w:adjustRightInd w:val="0"/>
        <w:spacing w:line="360" w:lineRule="auto"/>
        <w:jc w:val="left"/>
        <w:textAlignment w:val="baseline"/>
        <w:rPr>
          <w:rFonts w:ascii="宋体" w:hAnsi="宋体" w:cs="宋体"/>
          <w:b/>
          <w:sz w:val="24"/>
          <w:szCs w:val="24"/>
        </w:rPr>
      </w:pPr>
      <w:r>
        <w:rPr>
          <w:rFonts w:hint="eastAsia" w:ascii="宋体" w:hAnsi="宋体" w:cs="宋体"/>
          <w:b/>
          <w:sz w:val="24"/>
          <w:szCs w:val="24"/>
        </w:rPr>
        <w:t>二、商务报价响应文件相关的格式文件及表格</w:t>
      </w:r>
    </w:p>
    <w:p>
      <w:pPr>
        <w:widowControl/>
        <w:shd w:val="clear" w:color="auto" w:fill="FFFFFF"/>
        <w:spacing w:line="360" w:lineRule="atLeast"/>
        <w:jc w:val="center"/>
        <w:rPr>
          <w:rFonts w:ascii="宋体" w:hAnsi="宋体" w:cs="宋体"/>
          <w:kern w:val="0"/>
          <w:sz w:val="28"/>
          <w:szCs w:val="28"/>
        </w:rPr>
      </w:pPr>
      <w:r>
        <w:rPr>
          <w:rFonts w:hint="eastAsia" w:ascii="宋体" w:hAnsi="宋体" w:cs="宋体"/>
          <w:b/>
          <w:kern w:val="0"/>
          <w:sz w:val="28"/>
          <w:szCs w:val="28"/>
          <w:shd w:val="clear" w:color="auto" w:fill="FFFFFF"/>
        </w:rPr>
        <w:t>江苏省南通中学附属实验学校高压网络值守及维护项目</w:t>
      </w:r>
    </w:p>
    <w:p>
      <w:pPr>
        <w:jc w:val="center"/>
        <w:rPr>
          <w:rFonts w:ascii="宋体" w:hAnsi="宋体" w:cs="宋体"/>
          <w:b/>
          <w:sz w:val="36"/>
          <w:szCs w:val="36"/>
        </w:rPr>
      </w:pPr>
      <w:r>
        <w:rPr>
          <w:rFonts w:hint="eastAsia" w:ascii="宋体" w:hAnsi="宋体" w:cs="宋体"/>
          <w:b/>
          <w:sz w:val="36"/>
          <w:szCs w:val="36"/>
        </w:rPr>
        <w:t>报价单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4"/>
        <w:gridCol w:w="4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334" w:type="dxa"/>
            <w:vAlign w:val="center"/>
          </w:tcPr>
          <w:p>
            <w:pPr>
              <w:topLinePunct/>
              <w:snapToGrid w:val="0"/>
              <w:spacing w:line="400" w:lineRule="exact"/>
              <w:jc w:val="center"/>
              <w:rPr>
                <w:rFonts w:ascii="宋体" w:hAnsi="宋体" w:cs="宋体"/>
                <w:b/>
                <w:bCs/>
                <w:sz w:val="28"/>
                <w:szCs w:val="28"/>
              </w:rPr>
            </w:pPr>
            <w:r>
              <w:rPr>
                <w:rFonts w:hint="eastAsia" w:ascii="宋体" w:hAnsi="宋体" w:cs="宋体"/>
                <w:b/>
                <w:bCs/>
                <w:sz w:val="28"/>
                <w:szCs w:val="28"/>
              </w:rPr>
              <w:t>名  称</w:t>
            </w:r>
          </w:p>
        </w:tc>
        <w:tc>
          <w:tcPr>
            <w:tcW w:w="4705" w:type="dxa"/>
            <w:vAlign w:val="center"/>
          </w:tcPr>
          <w:p>
            <w:pPr>
              <w:topLinePunct/>
              <w:snapToGrid w:val="0"/>
              <w:spacing w:line="400" w:lineRule="exact"/>
              <w:jc w:val="center"/>
              <w:rPr>
                <w:rFonts w:ascii="宋体" w:hAnsi="宋体" w:cs="宋体"/>
                <w:b/>
                <w:bCs/>
                <w:sz w:val="28"/>
                <w:szCs w:val="28"/>
              </w:rPr>
            </w:pPr>
            <w:r>
              <w:rPr>
                <w:rFonts w:hint="eastAsia" w:ascii="宋体" w:hAnsi="宋体" w:cs="宋体"/>
                <w:b/>
                <w:bCs/>
                <w:sz w:val="28"/>
                <w:szCs w:val="28"/>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334" w:type="dxa"/>
            <w:vAlign w:val="center"/>
          </w:tcPr>
          <w:p>
            <w:pPr>
              <w:topLinePunct/>
              <w:snapToGrid w:val="0"/>
              <w:spacing w:line="400" w:lineRule="exact"/>
              <w:jc w:val="center"/>
              <w:rPr>
                <w:rFonts w:ascii="宋体" w:hAnsi="宋体" w:cs="宋体"/>
                <w:sz w:val="24"/>
                <w:szCs w:val="24"/>
              </w:rPr>
            </w:pPr>
            <w:r>
              <w:rPr>
                <w:rFonts w:hint="eastAsia" w:ascii="宋体" w:hAnsi="宋体" w:cs="宋体"/>
                <w:sz w:val="24"/>
                <w:szCs w:val="24"/>
              </w:rPr>
              <w:t>江苏省南通中学附属实验学校高压网络值守及维护项目</w:t>
            </w:r>
          </w:p>
        </w:tc>
        <w:tc>
          <w:tcPr>
            <w:tcW w:w="4705" w:type="dxa"/>
            <w:vAlign w:val="center"/>
          </w:tcPr>
          <w:p>
            <w:pPr>
              <w:topLinePunct/>
              <w:snapToGrid w:val="0"/>
              <w:spacing w:line="400" w:lineRule="exact"/>
              <w:rPr>
                <w:rFonts w:ascii="宋体" w:hAnsi="宋体" w:cs="宋体"/>
              </w:rPr>
            </w:pPr>
            <w:r>
              <w:rPr>
                <w:rFonts w:hint="eastAsia" w:ascii="宋体" w:hAnsi="宋体" w:cs="宋体"/>
              </w:rPr>
              <w:t>小写：</w:t>
            </w:r>
          </w:p>
          <w:p>
            <w:pPr>
              <w:pStyle w:val="26"/>
              <w:rPr>
                <w:rFonts w:ascii="宋体" w:hAnsi="宋体" w:eastAsia="宋体" w:cs="宋体"/>
                <w:lang w:eastAsia="zh-CN"/>
              </w:rPr>
            </w:pPr>
          </w:p>
          <w:p>
            <w:pPr>
              <w:pStyle w:val="26"/>
              <w:rPr>
                <w:rFonts w:ascii="宋体" w:hAnsi="宋体" w:eastAsia="宋体" w:cs="宋体"/>
                <w:lang w:eastAsia="zh-CN"/>
              </w:rPr>
            </w:pPr>
            <w:r>
              <w:rPr>
                <w:rFonts w:hint="eastAsia" w:ascii="宋体" w:hAnsi="宋体" w:eastAsia="宋体" w:cs="宋体"/>
                <w:lang w:eastAsia="zh-CN"/>
              </w:rPr>
              <w:t>大</w:t>
            </w:r>
            <w:r>
              <w:rPr>
                <w:rFonts w:hint="eastAsia" w:ascii="宋体" w:hAnsi="宋体" w:eastAsia="宋体" w:cs="宋体"/>
                <w:kern w:val="2"/>
                <w:sz w:val="21"/>
                <w:szCs w:val="22"/>
                <w:lang w:eastAsia="zh-CN"/>
              </w:rPr>
              <w:t>写：</w:t>
            </w:r>
          </w:p>
        </w:tc>
      </w:tr>
    </w:tbl>
    <w:p>
      <w:pPr>
        <w:ind w:left="197" w:leftChars="94" w:firstLine="196" w:firstLineChars="82"/>
        <w:rPr>
          <w:rFonts w:ascii="宋体" w:hAnsi="宋体" w:cs="宋体"/>
          <w:sz w:val="24"/>
        </w:rPr>
      </w:pPr>
    </w:p>
    <w:p>
      <w:pPr>
        <w:ind w:left="911" w:leftChars="434" w:firstLine="240" w:firstLineChars="100"/>
        <w:rPr>
          <w:rFonts w:ascii="宋体" w:hAnsi="宋体" w:cs="宋体"/>
          <w:kern w:val="0"/>
          <w:sz w:val="24"/>
          <w:szCs w:val="22"/>
        </w:rPr>
      </w:pPr>
      <w:r>
        <w:rPr>
          <w:rFonts w:hint="eastAsia" w:ascii="宋体" w:hAnsi="宋体" w:cs="宋体"/>
          <w:sz w:val="24"/>
        </w:rPr>
        <w:t>说明：</w:t>
      </w:r>
      <w:r>
        <w:rPr>
          <w:rFonts w:hint="eastAsia" w:ascii="宋体" w:hAnsi="宋体" w:cs="宋体"/>
          <w:kern w:val="0"/>
          <w:sz w:val="24"/>
          <w:szCs w:val="22"/>
        </w:rPr>
        <w:t>1.以上费用包含配件耗材、管理费、人工、税费等一切相关的费用。</w:t>
      </w:r>
    </w:p>
    <w:p>
      <w:pPr>
        <w:ind w:left="911" w:leftChars="434" w:firstLine="960" w:firstLineChars="400"/>
        <w:rPr>
          <w:rFonts w:ascii="宋体" w:hAnsi="宋体" w:cs="宋体"/>
          <w:kern w:val="0"/>
          <w:sz w:val="24"/>
          <w:szCs w:val="22"/>
        </w:rPr>
      </w:pPr>
      <w:r>
        <w:rPr>
          <w:rFonts w:hint="eastAsia" w:ascii="宋体" w:hAnsi="宋体" w:cs="宋体"/>
          <w:kern w:val="0"/>
          <w:sz w:val="24"/>
          <w:szCs w:val="22"/>
        </w:rPr>
        <w:t>2.本次报价的服务期为7个月。</w:t>
      </w:r>
    </w:p>
    <w:p>
      <w:pPr>
        <w:ind w:left="911" w:leftChars="434" w:firstLine="960" w:firstLineChars="400"/>
        <w:rPr>
          <w:rFonts w:ascii="宋体" w:hAnsi="宋体" w:cs="宋体"/>
          <w:kern w:val="0"/>
          <w:sz w:val="24"/>
          <w:szCs w:val="22"/>
        </w:rPr>
      </w:pPr>
      <w:r>
        <w:rPr>
          <w:rFonts w:hint="eastAsia" w:ascii="宋体" w:hAnsi="宋体" w:cs="宋体"/>
          <w:kern w:val="0"/>
          <w:sz w:val="24"/>
          <w:szCs w:val="22"/>
        </w:rPr>
        <w:t>3.</w:t>
      </w:r>
      <w:r>
        <w:rPr>
          <w:rFonts w:hint="eastAsia" w:ascii="宋体" w:hAnsi="宋体" w:cs="宋体"/>
          <w:kern w:val="0"/>
          <w:sz w:val="24"/>
          <w:szCs w:val="22"/>
          <w:lang w:eastAsia="zh-CN"/>
        </w:rPr>
        <w:t>投标报价</w:t>
      </w:r>
      <w:r>
        <w:rPr>
          <w:rFonts w:hint="eastAsia" w:ascii="宋体" w:hAnsi="宋体" w:cs="宋体"/>
          <w:kern w:val="0"/>
          <w:sz w:val="24"/>
          <w:szCs w:val="22"/>
        </w:rPr>
        <w:t>最低者成交。</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topLinePunct/>
        <w:snapToGrid w:val="0"/>
        <w:spacing w:line="400" w:lineRule="exact"/>
        <w:ind w:firstLine="141" w:firstLineChars="59"/>
        <w:rPr>
          <w:rFonts w:ascii="宋体" w:hAnsi="宋体" w:cs="宋体"/>
          <w:sz w:val="24"/>
        </w:rPr>
      </w:pPr>
      <w:r>
        <w:rPr>
          <w:rFonts w:hint="eastAsia" w:ascii="宋体" w:hAnsi="宋体" w:cs="宋体"/>
          <w:sz w:val="24"/>
        </w:rPr>
        <w:t>报价单位（盖章）：                      法人或委托人（签字）：</w:t>
      </w:r>
    </w:p>
    <w:p>
      <w:pPr>
        <w:topLinePunct/>
        <w:snapToGrid w:val="0"/>
        <w:spacing w:line="400" w:lineRule="exact"/>
        <w:ind w:firstLine="480" w:firstLineChars="200"/>
        <w:rPr>
          <w:rFonts w:ascii="宋体" w:hAnsi="宋体" w:cs="宋体"/>
          <w:sz w:val="24"/>
        </w:rPr>
      </w:pPr>
    </w:p>
    <w:p>
      <w:pPr>
        <w:ind w:firstLine="6376" w:firstLineChars="2657"/>
        <w:rPr>
          <w:rFonts w:ascii="宋体" w:hAnsi="宋体" w:cs="宋体"/>
          <w:sz w:val="24"/>
        </w:rPr>
      </w:pPr>
      <w:r>
        <w:rPr>
          <w:rFonts w:hint="eastAsia" w:ascii="宋体" w:hAnsi="宋体" w:cs="宋体"/>
          <w:sz w:val="24"/>
        </w:rPr>
        <w:t>2020年  月  日</w:t>
      </w:r>
    </w:p>
    <w:p>
      <w:pPr>
        <w:pStyle w:val="10"/>
        <w:widowControl/>
        <w:tabs>
          <w:tab w:val="center" w:pos="4153"/>
        </w:tabs>
        <w:spacing w:beforeAutospacing="0" w:afterAutospacing="0" w:line="360" w:lineRule="auto"/>
        <w:ind w:firstLine="480" w:firstLineChars="200"/>
        <w:rPr>
          <w:rFonts w:ascii="宋体" w:hAnsi="宋体" w:cs="宋体"/>
        </w:rPr>
      </w:pPr>
    </w:p>
    <w:sectPr>
      <w:pgSz w:w="11906" w:h="16838"/>
      <w:pgMar w:top="1361" w:right="1361" w:bottom="1361" w:left="1361" w:header="851" w:footer="992" w:gutter="0"/>
      <w:cols w:space="720" w:num="1"/>
      <w:rtlGutter w:val="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16</w:t>
    </w:r>
    <w:r>
      <w:rPr>
        <w:lang w:val="zh-CN"/>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24</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34FE76F3"/>
    <w:multiLevelType w:val="singleLevel"/>
    <w:tmpl w:val="34FE76F3"/>
    <w:lvl w:ilvl="0" w:tentative="0">
      <w:start w:val="2"/>
      <w:numFmt w:val="chineseCounting"/>
      <w:suff w:val="nothing"/>
      <w:lvlText w:val="（%1）"/>
      <w:lvlJc w:val="left"/>
      <w:rPr>
        <w:rFonts w:hint="eastAsia"/>
      </w:rPr>
    </w:lvl>
  </w:abstractNum>
  <w:abstractNum w:abstractNumId="2">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6290BEC0"/>
    <w:multiLevelType w:val="singleLevel"/>
    <w:tmpl w:val="6290BEC0"/>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4A1330"/>
    <w:rsid w:val="0005620E"/>
    <w:rsid w:val="000D0D8A"/>
    <w:rsid w:val="00164108"/>
    <w:rsid w:val="00165CD7"/>
    <w:rsid w:val="001F0719"/>
    <w:rsid w:val="002E28B1"/>
    <w:rsid w:val="00304AC2"/>
    <w:rsid w:val="003E4D05"/>
    <w:rsid w:val="003F0387"/>
    <w:rsid w:val="00592662"/>
    <w:rsid w:val="00775C47"/>
    <w:rsid w:val="00A702F2"/>
    <w:rsid w:val="00B900E9"/>
    <w:rsid w:val="00B97D55"/>
    <w:rsid w:val="00D02360"/>
    <w:rsid w:val="00D37C0C"/>
    <w:rsid w:val="06E501AE"/>
    <w:rsid w:val="08EF1322"/>
    <w:rsid w:val="0C82204B"/>
    <w:rsid w:val="0D1E15F1"/>
    <w:rsid w:val="0FAD2C88"/>
    <w:rsid w:val="10C77088"/>
    <w:rsid w:val="11394059"/>
    <w:rsid w:val="1274014E"/>
    <w:rsid w:val="174A1330"/>
    <w:rsid w:val="175D0716"/>
    <w:rsid w:val="184B2586"/>
    <w:rsid w:val="186E5C3A"/>
    <w:rsid w:val="18FF2F19"/>
    <w:rsid w:val="1A117A9B"/>
    <w:rsid w:val="1ADB4DF9"/>
    <w:rsid w:val="1B3B5E48"/>
    <w:rsid w:val="1C5004E4"/>
    <w:rsid w:val="1F8E5E23"/>
    <w:rsid w:val="2405187F"/>
    <w:rsid w:val="241B45CD"/>
    <w:rsid w:val="245811FC"/>
    <w:rsid w:val="24E9527E"/>
    <w:rsid w:val="2B9E59A3"/>
    <w:rsid w:val="2E7E5808"/>
    <w:rsid w:val="2EF96A1D"/>
    <w:rsid w:val="2F4C4A5D"/>
    <w:rsid w:val="32125F2A"/>
    <w:rsid w:val="34715664"/>
    <w:rsid w:val="3DB24393"/>
    <w:rsid w:val="3DB972A7"/>
    <w:rsid w:val="41554743"/>
    <w:rsid w:val="41EF1D20"/>
    <w:rsid w:val="43460577"/>
    <w:rsid w:val="43944C08"/>
    <w:rsid w:val="46690858"/>
    <w:rsid w:val="47592858"/>
    <w:rsid w:val="48FA5200"/>
    <w:rsid w:val="4DE623BE"/>
    <w:rsid w:val="4FC51DE9"/>
    <w:rsid w:val="50BE017A"/>
    <w:rsid w:val="52BC385D"/>
    <w:rsid w:val="57CD56A1"/>
    <w:rsid w:val="581029EE"/>
    <w:rsid w:val="5D6E2C4F"/>
    <w:rsid w:val="5FD34A11"/>
    <w:rsid w:val="6025386C"/>
    <w:rsid w:val="661F495E"/>
    <w:rsid w:val="6D3948C3"/>
    <w:rsid w:val="6FDE745B"/>
    <w:rsid w:val="6FFF388E"/>
    <w:rsid w:val="72EB04A3"/>
    <w:rsid w:val="78B84FC4"/>
    <w:rsid w:val="7D8B4818"/>
    <w:rsid w:val="7DBE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5">
    <w:name w:val="Normal Indent"/>
    <w:basedOn w:val="1"/>
    <w:qFormat/>
    <w:uiPriority w:val="0"/>
    <w:pPr>
      <w:adjustRightInd w:val="0"/>
      <w:ind w:firstLine="420"/>
      <w:jc w:val="left"/>
      <w:textAlignment w:val="baseline"/>
    </w:pPr>
    <w:rPr>
      <w:rFonts w:eastAsia="楷体_GB2312"/>
      <w:kern w:val="0"/>
      <w:sz w:val="24"/>
    </w:rPr>
  </w:style>
  <w:style w:type="paragraph" w:styleId="6">
    <w:name w:val="Plain Text"/>
    <w:basedOn w:val="1"/>
    <w:unhideWhenUsed/>
    <w:qFormat/>
    <w:uiPriority w:val="99"/>
    <w:pPr>
      <w:ind w:left="420"/>
      <w:jc w:val="left"/>
    </w:pPr>
    <w:rPr>
      <w:rFonts w:ascii="宋体" w:hAnsi="Courier New" w:cs="Courier New"/>
      <w:kern w:val="0"/>
      <w:sz w:val="20"/>
      <w:szCs w:val="21"/>
    </w:rPr>
  </w:style>
  <w:style w:type="paragraph" w:styleId="7">
    <w:name w:val="footer"/>
    <w:basedOn w:val="1"/>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uiPriority w:val="0"/>
    <w:pPr>
      <w:adjustRightInd w:val="0"/>
      <w:jc w:val="left"/>
      <w:textAlignment w:val="baseline"/>
    </w:pPr>
    <w:rPr>
      <w:rFonts w:eastAsia="楷体_GB2312"/>
      <w:sz w:val="24"/>
    </w:rPr>
  </w:style>
  <w:style w:type="paragraph" w:styleId="10">
    <w:name w:val="Normal (Web)"/>
    <w:basedOn w:val="1"/>
    <w:qFormat/>
    <w:uiPriority w:val="0"/>
    <w:pPr>
      <w:spacing w:before="100" w:beforeAutospacing="1" w:after="100" w:afterAutospacing="1"/>
      <w:jc w:val="left"/>
    </w:pPr>
    <w:rPr>
      <w:rFonts w:ascii="Calibri" w:hAnsi="Calibri"/>
      <w:kern w:val="0"/>
      <w:sz w:val="24"/>
      <w:szCs w:val="24"/>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style>
  <w:style w:type="character" w:styleId="15">
    <w:name w:val="page number"/>
    <w:basedOn w:val="13"/>
    <w:qFormat/>
    <w:uiPriority w:val="0"/>
  </w:style>
  <w:style w:type="character" w:styleId="16">
    <w:name w:val="FollowedHyperlink"/>
    <w:basedOn w:val="13"/>
    <w:qFormat/>
    <w:uiPriority w:val="0"/>
    <w:rPr>
      <w:color w:val="800080"/>
      <w:u w:val="none"/>
    </w:rPr>
  </w:style>
  <w:style w:type="character" w:styleId="17">
    <w:name w:val="HTML Definition"/>
    <w:basedOn w:val="13"/>
    <w:qFormat/>
    <w:uiPriority w:val="0"/>
  </w:style>
  <w:style w:type="character" w:styleId="18">
    <w:name w:val="HTML Typewriter"/>
    <w:basedOn w:val="13"/>
    <w:qFormat/>
    <w:uiPriority w:val="0"/>
    <w:rPr>
      <w:rFonts w:hint="default" w:ascii="monospace" w:hAnsi="monospace" w:eastAsia="monospace" w:cs="monospace"/>
      <w:sz w:val="20"/>
    </w:rPr>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0000FF"/>
      <w:u w:val="none"/>
    </w:rPr>
  </w:style>
  <w:style w:type="character" w:styleId="22">
    <w:name w:val="HTML Code"/>
    <w:basedOn w:val="13"/>
    <w:qFormat/>
    <w:uiPriority w:val="0"/>
    <w:rPr>
      <w:rFonts w:hint="default" w:ascii="monospace" w:hAnsi="monospace" w:eastAsia="monospace" w:cs="monospace"/>
      <w:sz w:val="20"/>
    </w:rPr>
  </w:style>
  <w:style w:type="character" w:styleId="23">
    <w:name w:val="HTML Cite"/>
    <w:basedOn w:val="13"/>
    <w:qFormat/>
    <w:uiPriority w:val="0"/>
  </w:style>
  <w:style w:type="character" w:styleId="24">
    <w:name w:val="HTML Keyboard"/>
    <w:basedOn w:val="13"/>
    <w:qFormat/>
    <w:uiPriority w:val="0"/>
    <w:rPr>
      <w:rFonts w:hint="default" w:ascii="monospace" w:hAnsi="monospace" w:eastAsia="monospace" w:cs="monospace"/>
      <w:sz w:val="20"/>
    </w:rPr>
  </w:style>
  <w:style w:type="character" w:styleId="25">
    <w:name w:val="HTML Sample"/>
    <w:basedOn w:val="13"/>
    <w:qFormat/>
    <w:uiPriority w:val="0"/>
    <w:rPr>
      <w:rFonts w:ascii="monospace" w:hAnsi="monospace" w:eastAsia="monospace" w:cs="monospace"/>
    </w:rPr>
  </w:style>
  <w:style w:type="paragraph" w:customStyle="1" w:styleId="26">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27">
    <w:name w:val="List Paragraph"/>
    <w:basedOn w:val="1"/>
    <w:qFormat/>
    <w:uiPriority w:val="99"/>
    <w:pPr>
      <w:ind w:firstLine="420" w:firstLineChars="200"/>
    </w:pPr>
  </w:style>
  <w:style w:type="paragraph" w:customStyle="1" w:styleId="28">
    <w:name w:val="正文文稿"/>
    <w:basedOn w:val="1"/>
    <w:qFormat/>
    <w:uiPriority w:val="0"/>
    <w:pPr>
      <w:spacing w:line="460" w:lineRule="exact"/>
      <w:ind w:firstLine="200" w:firstLineChars="200"/>
    </w:pPr>
    <w:rPr>
      <w:rFonts w:ascii="仿宋_GB2312" w:eastAsia="仿宋_GB2312"/>
      <w:bCs/>
      <w:kern w:val="28"/>
      <w:sz w:val="28"/>
      <w:szCs w:val="24"/>
    </w:rPr>
  </w:style>
  <w:style w:type="paragraph" w:customStyle="1" w:styleId="29">
    <w:name w:val="1.1"/>
    <w:basedOn w:val="28"/>
    <w:next w:val="28"/>
    <w:qFormat/>
    <w:uiPriority w:val="0"/>
    <w:pPr>
      <w:outlineLvl w:val="1"/>
    </w:pPr>
    <w:rPr>
      <w:b/>
      <w:bCs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B2D0D-0BBB-4506-98E1-DC4C308A7423}">
  <ds:schemaRefs/>
</ds:datastoreItem>
</file>

<file path=docProps/app.xml><?xml version="1.0" encoding="utf-8"?>
<Properties xmlns="http://schemas.openxmlformats.org/officeDocument/2006/extended-properties" xmlns:vt="http://schemas.openxmlformats.org/officeDocument/2006/docPropsVTypes">
  <Template>Normal</Template>
  <Pages>27</Pages>
  <Words>2225</Words>
  <Characters>12686</Characters>
  <Lines>105</Lines>
  <Paragraphs>29</Paragraphs>
  <TotalTime>32</TotalTime>
  <ScaleCrop>false</ScaleCrop>
  <LinksUpToDate>false</LinksUpToDate>
  <CharactersWithSpaces>14882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鑫鑫</cp:lastModifiedBy>
  <dcterms:modified xsi:type="dcterms:W3CDTF">2020-05-12T03:40:22Z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